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D" w:rsidRPr="00154EB3" w:rsidRDefault="00C47B8D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709E3" w:rsidRDefault="00C47B8D" w:rsidP="00AC4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9F9">
        <w:rPr>
          <w:rFonts w:ascii="Times New Roman" w:hAnsi="Times New Roman" w:cs="Times New Roman"/>
          <w:b/>
          <w:sz w:val="28"/>
          <w:szCs w:val="28"/>
        </w:rPr>
        <w:t>количестве и характере о</w:t>
      </w:r>
      <w:r w:rsidRPr="00154EB3">
        <w:rPr>
          <w:rFonts w:ascii="Times New Roman" w:hAnsi="Times New Roman" w:cs="Times New Roman"/>
          <w:b/>
          <w:sz w:val="28"/>
          <w:szCs w:val="28"/>
        </w:rPr>
        <w:t>бращений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B3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</w:p>
    <w:p w:rsidR="001709E3" w:rsidRDefault="00C47B8D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EB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154EB3">
        <w:rPr>
          <w:rFonts w:ascii="Times New Roman" w:hAnsi="Times New Roman" w:cs="Times New Roman"/>
          <w:b/>
          <w:sz w:val="28"/>
          <w:szCs w:val="28"/>
        </w:rPr>
        <w:t xml:space="preserve"> в Администрацию города Волгодонска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B8D" w:rsidRPr="00154EB3" w:rsidRDefault="00AC5968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4FCF" w:rsidRPr="00154EB3">
        <w:rPr>
          <w:rFonts w:ascii="Times New Roman" w:hAnsi="Times New Roman" w:cs="Times New Roman"/>
          <w:b/>
          <w:sz w:val="28"/>
          <w:szCs w:val="28"/>
        </w:rPr>
        <w:t>2</w:t>
      </w:r>
      <w:r w:rsidR="00480D1B">
        <w:rPr>
          <w:rFonts w:ascii="Times New Roman" w:hAnsi="Times New Roman" w:cs="Times New Roman"/>
          <w:b/>
          <w:sz w:val="28"/>
          <w:szCs w:val="28"/>
        </w:rPr>
        <w:t>01</w:t>
      </w:r>
      <w:r w:rsidR="006B4532">
        <w:rPr>
          <w:rFonts w:ascii="Times New Roman" w:hAnsi="Times New Roman" w:cs="Times New Roman"/>
          <w:b/>
          <w:sz w:val="28"/>
          <w:szCs w:val="28"/>
        </w:rPr>
        <w:t>6</w:t>
      </w:r>
      <w:r w:rsidR="00C47B8D" w:rsidRPr="00154E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47B8D" w:rsidRPr="00154E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65E8" w:rsidRPr="00154EB3" w:rsidRDefault="00FF65E8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96" w:rsidRPr="00154EB3" w:rsidRDefault="00F26328" w:rsidP="00DA62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D1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B453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города Волгодонска поступило </w:t>
      </w:r>
      <w:r w:rsidR="00E056E3">
        <w:rPr>
          <w:rFonts w:ascii="Times New Roman" w:eastAsia="Times New Roman" w:hAnsi="Times New Roman" w:cs="Times New Roman"/>
          <w:sz w:val="28"/>
          <w:szCs w:val="28"/>
        </w:rPr>
        <w:t>2417</w:t>
      </w:r>
      <w:r w:rsidR="00231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E21" w:rsidRPr="00154EB3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95C1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501349">
        <w:rPr>
          <w:rFonts w:ascii="Times New Roman" w:eastAsia="Times New Roman" w:hAnsi="Times New Roman" w:cs="Times New Roman"/>
          <w:sz w:val="28"/>
          <w:szCs w:val="28"/>
        </w:rPr>
        <w:t>83</w:t>
      </w:r>
      <w:r w:rsidR="001A49B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9250F0">
        <w:rPr>
          <w:rFonts w:ascii="Times New Roman" w:eastAsia="Times New Roman" w:hAnsi="Times New Roman" w:cs="Times New Roman"/>
          <w:sz w:val="28"/>
          <w:szCs w:val="28"/>
        </w:rPr>
        <w:t>я меньше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 w:rsidR="00FD3E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50F0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FD3E2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0333C" w:rsidRDefault="0060333C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6296" w:rsidRPr="00154EB3" w:rsidRDefault="00DA6296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Сравнительное количество обращений,</w:t>
      </w:r>
    </w:p>
    <w:p w:rsidR="00DA6296" w:rsidRPr="00154EB3" w:rsidRDefault="00DA6296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поступивших</w:t>
      </w:r>
      <w:proofErr w:type="gramEnd"/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Администрацию города Волгодонска</w:t>
      </w:r>
    </w:p>
    <w:p w:rsidR="001D6733" w:rsidRDefault="00F10426" w:rsidP="00C23A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(2015</w:t>
      </w:r>
      <w:r w:rsidR="00845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="00845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15CC6" w:rsidRPr="00154EB3" w:rsidRDefault="00315CC6" w:rsidP="00C23A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2FBC" w:rsidRDefault="00AE48E2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2743200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333C" w:rsidRDefault="0060333C" w:rsidP="00F6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BC" w:rsidRDefault="00F62FBC" w:rsidP="00F6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C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60333C">
        <w:rPr>
          <w:rFonts w:ascii="Times New Roman" w:hAnsi="Times New Roman" w:cs="Times New Roman"/>
          <w:sz w:val="28"/>
          <w:szCs w:val="28"/>
        </w:rPr>
        <w:t>2015 годом в 2016</w:t>
      </w:r>
      <w:r w:rsidR="0084508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62FBC">
        <w:rPr>
          <w:rFonts w:ascii="Times New Roman" w:hAnsi="Times New Roman" w:cs="Times New Roman"/>
          <w:sz w:val="28"/>
          <w:szCs w:val="28"/>
        </w:rPr>
        <w:t xml:space="preserve"> количество письменных обращений </w:t>
      </w:r>
      <w:r w:rsidR="0060333C">
        <w:rPr>
          <w:rFonts w:ascii="Times New Roman" w:hAnsi="Times New Roman" w:cs="Times New Roman"/>
          <w:sz w:val="28"/>
          <w:szCs w:val="28"/>
        </w:rPr>
        <w:t>уменьшилось</w:t>
      </w:r>
      <w:r w:rsidR="003F3C81" w:rsidRPr="00F62FBC">
        <w:rPr>
          <w:rFonts w:ascii="Times New Roman" w:hAnsi="Times New Roman" w:cs="Times New Roman"/>
          <w:sz w:val="28"/>
          <w:szCs w:val="28"/>
        </w:rPr>
        <w:t xml:space="preserve"> </w:t>
      </w:r>
      <w:r w:rsidRPr="00F62FBC">
        <w:rPr>
          <w:rFonts w:ascii="Times New Roman" w:hAnsi="Times New Roman" w:cs="Times New Roman"/>
          <w:sz w:val="28"/>
          <w:szCs w:val="28"/>
        </w:rPr>
        <w:t xml:space="preserve">на </w:t>
      </w:r>
      <w:r w:rsidR="00501349">
        <w:rPr>
          <w:rFonts w:ascii="Times New Roman" w:hAnsi="Times New Roman" w:cs="Times New Roman"/>
          <w:sz w:val="28"/>
          <w:szCs w:val="28"/>
        </w:rPr>
        <w:t>83</w:t>
      </w:r>
      <w:r w:rsidRPr="00F62FBC">
        <w:rPr>
          <w:rFonts w:ascii="Times New Roman" w:hAnsi="Times New Roman" w:cs="Times New Roman"/>
          <w:sz w:val="28"/>
          <w:szCs w:val="28"/>
        </w:rPr>
        <w:t>, коли</w:t>
      </w:r>
      <w:r w:rsidR="00192D82">
        <w:rPr>
          <w:rFonts w:ascii="Times New Roman" w:hAnsi="Times New Roman" w:cs="Times New Roman"/>
          <w:sz w:val="28"/>
          <w:szCs w:val="28"/>
        </w:rPr>
        <w:t>ч</w:t>
      </w:r>
      <w:r w:rsidR="00D3478E">
        <w:rPr>
          <w:rFonts w:ascii="Times New Roman" w:hAnsi="Times New Roman" w:cs="Times New Roman"/>
          <w:sz w:val="28"/>
          <w:szCs w:val="28"/>
        </w:rPr>
        <w:t xml:space="preserve">ество устных обращений </w:t>
      </w:r>
      <w:r w:rsidR="0061370B">
        <w:rPr>
          <w:rFonts w:ascii="Times New Roman" w:hAnsi="Times New Roman" w:cs="Times New Roman"/>
          <w:sz w:val="28"/>
          <w:szCs w:val="28"/>
        </w:rPr>
        <w:t>увеличилось на 37</w:t>
      </w:r>
      <w:r w:rsidRPr="00F62FBC">
        <w:rPr>
          <w:rFonts w:ascii="Times New Roman" w:hAnsi="Times New Roman" w:cs="Times New Roman"/>
          <w:sz w:val="28"/>
          <w:szCs w:val="28"/>
        </w:rPr>
        <w:t>.</w:t>
      </w:r>
    </w:p>
    <w:p w:rsidR="00315CC6" w:rsidRPr="00F62FBC" w:rsidRDefault="00315CC6" w:rsidP="00F6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3012"/>
        <w:gridCol w:w="2502"/>
        <w:gridCol w:w="1828"/>
      </w:tblGrid>
      <w:tr w:rsidR="00F62FBC" w:rsidRPr="00F62FBC" w:rsidTr="00C700F0">
        <w:tc>
          <w:tcPr>
            <w:tcW w:w="3190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2FBC" w:rsidRPr="00F62FBC" w:rsidRDefault="005C2A69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62FBC" w:rsidRPr="00F62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40" w:type="dxa"/>
          </w:tcPr>
          <w:p w:rsidR="00F62FBC" w:rsidRPr="00F62FBC" w:rsidRDefault="005C2A69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62FBC" w:rsidRPr="00F62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51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Уменьшение, увеличение</w:t>
            </w:r>
          </w:p>
        </w:tc>
      </w:tr>
      <w:tr w:rsidR="00F62FBC" w:rsidRPr="00F62FBC" w:rsidTr="00C700F0">
        <w:trPr>
          <w:trHeight w:val="1743"/>
        </w:trPr>
        <w:tc>
          <w:tcPr>
            <w:tcW w:w="3190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  <w:p w:rsidR="00DA626A" w:rsidRDefault="00DA626A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3190" w:type="dxa"/>
          </w:tcPr>
          <w:p w:rsidR="005C2A69" w:rsidRDefault="005C2A69" w:rsidP="005C2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5C2A69" w:rsidRDefault="005C2A69" w:rsidP="005C2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69" w:rsidRDefault="005C2A69" w:rsidP="005C2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:rsidR="005C2A69" w:rsidRDefault="005C2A69" w:rsidP="005C2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D1" w:rsidRPr="00F62FBC" w:rsidRDefault="005C2A69" w:rsidP="005C2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  <w:tc>
          <w:tcPr>
            <w:tcW w:w="2640" w:type="dxa"/>
          </w:tcPr>
          <w:p w:rsidR="00D052D4" w:rsidRDefault="003E63B7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  <w:p w:rsidR="00F10426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26" w:rsidRDefault="003E63B7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:rsidR="00F10426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26" w:rsidRPr="00F62FBC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551" w:type="dxa"/>
          </w:tcPr>
          <w:p w:rsidR="00F62FBC" w:rsidRDefault="00501349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  <w:p w:rsidR="003727B6" w:rsidRDefault="003727B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B6" w:rsidRDefault="0061370B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</w:t>
            </w:r>
          </w:p>
          <w:p w:rsidR="00F10426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B6" w:rsidRPr="00F62FBC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</w:t>
            </w:r>
          </w:p>
        </w:tc>
      </w:tr>
    </w:tbl>
    <w:p w:rsidR="00F62FBC" w:rsidRDefault="00F62FBC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FC" w:rsidRDefault="009E38FC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FC" w:rsidRDefault="009E38FC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FC" w:rsidRDefault="009E38FC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FC" w:rsidRDefault="009E38FC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82" w:rsidRDefault="00900082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13D" w:rsidRPr="00156275" w:rsidRDefault="0069213D" w:rsidP="00287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3D">
        <w:rPr>
          <w:rFonts w:ascii="Times New Roman" w:hAnsi="Times New Roman" w:cs="Times New Roman"/>
          <w:b/>
          <w:sz w:val="28"/>
          <w:szCs w:val="28"/>
        </w:rPr>
        <w:lastRenderedPageBreak/>
        <w:t>Динамика изменения количества обращений</w:t>
      </w:r>
    </w:p>
    <w:p w:rsidR="00F62FBC" w:rsidRDefault="00A549C2" w:rsidP="006921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2743200"/>
            <wp:effectExtent l="19050" t="0" r="1905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947" w:rsidRDefault="005C2947" w:rsidP="005C2947">
      <w:pPr>
        <w:ind w:firstLine="708"/>
        <w:jc w:val="both"/>
      </w:pPr>
    </w:p>
    <w:p w:rsidR="005C2947" w:rsidRPr="005C2947" w:rsidRDefault="005C2947" w:rsidP="005C2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47">
        <w:rPr>
          <w:rFonts w:ascii="Times New Roman" w:hAnsi="Times New Roman" w:cs="Times New Roman"/>
          <w:sz w:val="28"/>
          <w:szCs w:val="28"/>
        </w:rPr>
        <w:t xml:space="preserve">698 (33%) письменных обращений поступило через Интернет-приемную Администрации города Волгодонска в форме электронного письма. В аналогичном периоде прошлого года таких обращений поступило 754 (33%). </w:t>
      </w:r>
    </w:p>
    <w:p w:rsidR="00315CC6" w:rsidRDefault="00315CC6" w:rsidP="00DF3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83" w:rsidRPr="009A1283" w:rsidRDefault="009A1283" w:rsidP="00DF3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83">
        <w:rPr>
          <w:rFonts w:ascii="Times New Roman" w:hAnsi="Times New Roman" w:cs="Times New Roman"/>
          <w:b/>
          <w:sz w:val="28"/>
          <w:szCs w:val="28"/>
        </w:rPr>
        <w:t>Количество обращени</w:t>
      </w:r>
      <w:r w:rsidR="00845084">
        <w:rPr>
          <w:rFonts w:ascii="Times New Roman" w:hAnsi="Times New Roman" w:cs="Times New Roman"/>
          <w:b/>
          <w:sz w:val="28"/>
          <w:szCs w:val="28"/>
        </w:rPr>
        <w:t>й, направленных на рассмотрение</w:t>
      </w:r>
      <w:r w:rsidR="00F32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83">
        <w:rPr>
          <w:rFonts w:ascii="Times New Roman" w:hAnsi="Times New Roman" w:cs="Times New Roman"/>
          <w:b/>
          <w:sz w:val="28"/>
          <w:szCs w:val="28"/>
        </w:rPr>
        <w:t>заместителям главы Администрации города Волгодонска</w:t>
      </w:r>
    </w:p>
    <w:p w:rsidR="009A1283" w:rsidRDefault="009A1283" w:rsidP="00DF31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83">
        <w:rPr>
          <w:rFonts w:ascii="Times New Roman" w:hAnsi="Times New Roman" w:cs="Times New Roman"/>
          <w:b/>
          <w:sz w:val="28"/>
          <w:szCs w:val="28"/>
        </w:rPr>
        <w:t>(</w:t>
      </w:r>
      <w:r w:rsidR="00D907A4">
        <w:rPr>
          <w:rFonts w:ascii="Times New Roman" w:hAnsi="Times New Roman" w:cs="Times New Roman"/>
          <w:b/>
          <w:sz w:val="28"/>
          <w:szCs w:val="28"/>
        </w:rPr>
        <w:t>2016</w:t>
      </w:r>
      <w:r w:rsidR="006F1D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A12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701"/>
        <w:gridCol w:w="1842"/>
      </w:tblGrid>
      <w:tr w:rsidR="00586B25" w:rsidRPr="00906C04" w:rsidTr="00315CC6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586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586B25" w:rsidRPr="00906C04" w:rsidTr="00586B2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586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Волгодонска С.О.Поляков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3E63B7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9C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6B25" w:rsidRPr="00906C04" w:rsidTr="00586B2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586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 В.Н.Графов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3E63B7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9C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6B25" w:rsidRPr="00906C04" w:rsidTr="00586B2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586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И.В.Столяр/</w:t>
            </w:r>
            <w:proofErr w:type="spellStart"/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М.Л.Плоцкер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6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86B25" w:rsidRPr="006D058A" w:rsidTr="00586B2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586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городскому хозяйству </w:t>
            </w:r>
            <w:proofErr w:type="spellStart"/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А.М.Милосердов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44444D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134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A549C2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  <w:r w:rsidR="00586B25" w:rsidRPr="00586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6B25" w:rsidRPr="00906C04" w:rsidTr="00586B2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586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86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 Полищук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D22D92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E63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A22C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="00586B25" w:rsidRPr="00586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6B25" w:rsidRPr="00906C04" w:rsidTr="00586B2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586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строительству – главный архитектор города Волгодонска </w:t>
            </w:r>
            <w:proofErr w:type="spellStart"/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Ю.С.Забазнов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3E63B7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,7%</w:t>
            </w:r>
          </w:p>
        </w:tc>
      </w:tr>
      <w:tr w:rsidR="00586B25" w:rsidTr="00586B2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586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86B25" w:rsidP="0085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5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 Волгодонска И.В.Орлова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3E63B7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586B25" w:rsidRDefault="005A22C5" w:rsidP="0085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586B25" w:rsidRPr="00586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15CC6" w:rsidRPr="009A1283" w:rsidRDefault="00315CC6" w:rsidP="00315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1283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</w:t>
      </w:r>
      <w:r w:rsidRPr="00A549C2">
        <w:rPr>
          <w:rFonts w:ascii="Times New Roman" w:hAnsi="Times New Roman" w:cs="Times New Roman"/>
          <w:sz w:val="28"/>
          <w:szCs w:val="28"/>
        </w:rPr>
        <w:t>в 2016 году направлено</w:t>
      </w:r>
      <w:r w:rsidRPr="009A1283">
        <w:rPr>
          <w:rFonts w:ascii="Times New Roman" w:hAnsi="Times New Roman" w:cs="Times New Roman"/>
          <w:sz w:val="28"/>
          <w:szCs w:val="28"/>
        </w:rPr>
        <w:t xml:space="preserve"> на рассмотрение заместителю главы Администрации города Волгодонска по городскому хо</w:t>
      </w:r>
      <w:r>
        <w:rPr>
          <w:rFonts w:ascii="Times New Roman" w:hAnsi="Times New Roman" w:cs="Times New Roman"/>
          <w:sz w:val="28"/>
          <w:szCs w:val="28"/>
        </w:rPr>
        <w:t xml:space="preserve">зяйству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A549C2">
        <w:rPr>
          <w:rFonts w:ascii="Times New Roman" w:hAnsi="Times New Roman" w:cs="Times New Roman"/>
          <w:sz w:val="28"/>
          <w:szCs w:val="28"/>
        </w:rPr>
        <w:t>1299 (53,7% от общего количества обращений</w:t>
      </w:r>
      <w:r w:rsidRPr="009A12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1283" w:rsidRPr="009A1283" w:rsidRDefault="005C2947" w:rsidP="009A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2743200"/>
            <wp:effectExtent l="19050" t="0" r="952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627D" w:rsidRPr="00B6627D" w:rsidRDefault="00B6627D" w:rsidP="00B6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7D">
        <w:rPr>
          <w:rFonts w:ascii="Times New Roman" w:hAnsi="Times New Roman" w:cs="Times New Roman"/>
          <w:sz w:val="28"/>
          <w:szCs w:val="28"/>
        </w:rPr>
        <w:t>Тематический анализ поступивших обращений позволяет определить основной круг вопросов, по которым обращаются жители.</w:t>
      </w:r>
    </w:p>
    <w:p w:rsidR="00B6627D" w:rsidRPr="00B6627D" w:rsidRDefault="00B6627D" w:rsidP="00B6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7D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Ростовской области в работе с обращениями граждан используется общероссийский классификатор при определении темы вопроса обращений. </w:t>
      </w:r>
    </w:p>
    <w:p w:rsidR="00B6627D" w:rsidRPr="00A05FA0" w:rsidRDefault="00B6627D" w:rsidP="00B66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Тематика обращений, поступивших в Администрацию города Волгодонска</w:t>
      </w:r>
    </w:p>
    <w:p w:rsidR="00B6627D" w:rsidRPr="00A05FA0" w:rsidRDefault="00B6627D" w:rsidP="00B66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  <w:r w:rsidRPr="00A05FA0">
        <w:rPr>
          <w:rFonts w:ascii="Times New Roman" w:hAnsi="Times New Roman" w:cs="Times New Roman"/>
          <w:b/>
          <w:sz w:val="28"/>
          <w:szCs w:val="28"/>
        </w:rPr>
        <w:t>)</w:t>
      </w:r>
    </w:p>
    <w:p w:rsidR="00B6627D" w:rsidRPr="00C174C2" w:rsidRDefault="00315CC6" w:rsidP="00B6627D">
      <w:pPr>
        <w:spacing w:after="0"/>
        <w:jc w:val="both"/>
      </w:pPr>
      <w:r w:rsidRPr="00315CC6">
        <w:rPr>
          <w:noProof/>
        </w:rPr>
        <w:drawing>
          <wp:inline distT="0" distB="0" distL="0" distR="0">
            <wp:extent cx="5114925" cy="2514600"/>
            <wp:effectExtent l="19050" t="0" r="9525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5FA0" w:rsidRPr="00A05FA0" w:rsidRDefault="00A05FA0" w:rsidP="00BD0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обращений граждан по темам</w:t>
      </w:r>
    </w:p>
    <w:p w:rsidR="00A05FA0" w:rsidRPr="00A05FA0" w:rsidRDefault="00A05FA0" w:rsidP="00A05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(</w:t>
      </w:r>
      <w:r w:rsidR="005C2947">
        <w:rPr>
          <w:rFonts w:ascii="Times New Roman" w:hAnsi="Times New Roman" w:cs="Times New Roman"/>
          <w:b/>
          <w:sz w:val="28"/>
          <w:szCs w:val="28"/>
        </w:rPr>
        <w:t>2016</w:t>
      </w:r>
      <w:r w:rsidR="0067702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05FA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1701"/>
        <w:gridCol w:w="1701"/>
      </w:tblGrid>
      <w:tr w:rsidR="00A05FA0" w:rsidRPr="00A05FA0" w:rsidTr="00BD00AA">
        <w:trPr>
          <w:trHeight w:val="1190"/>
        </w:trPr>
        <w:tc>
          <w:tcPr>
            <w:tcW w:w="534" w:type="dxa"/>
          </w:tcPr>
          <w:p w:rsidR="00A05FA0" w:rsidRPr="00A05FA0" w:rsidRDefault="00A05FA0" w:rsidP="00A05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701" w:type="dxa"/>
          </w:tcPr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Количество, (ед.)</w:t>
            </w:r>
          </w:p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0AA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% от общего</w:t>
            </w:r>
          </w:p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кол-ва</w:t>
            </w:r>
          </w:p>
        </w:tc>
      </w:tr>
      <w:tr w:rsidR="00A05FA0" w:rsidRPr="00A05FA0" w:rsidTr="00BD00AA">
        <w:trPr>
          <w:trHeight w:val="2077"/>
        </w:trPr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Государство, общество, политика:</w:t>
            </w: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об оказании гуманитарной помощи, благодарности, выдача копий архивных документов, уведомления о проведении собраний собственников МКД  и др.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770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03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003FB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rPr>
          <w:trHeight w:val="1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Семья; труд, занятость; социальное обеспечение, социальное страхование; образование, наука, культура; здравоохранение, физкультура и спорт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5003FB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5003FB" w:rsidP="0050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(строительство, архитектура, транспорт, торговля); природные ресурсы и охрана окружающей среды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003F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A05FA0" w:rsidRPr="00A05FA0" w:rsidRDefault="005003FB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27,6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05FA0" w:rsidRPr="00A05FA0" w:rsidRDefault="00A83E84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Оборона, безопасность, </w:t>
            </w:r>
            <w:r w:rsidR="00A05FA0"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законность</w:t>
            </w:r>
          </w:p>
        </w:tc>
        <w:tc>
          <w:tcPr>
            <w:tcW w:w="1701" w:type="dxa"/>
          </w:tcPr>
          <w:p w:rsidR="00A05FA0" w:rsidRPr="00A05FA0" w:rsidRDefault="005003FB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A05FA0" w:rsidRPr="00A05FA0" w:rsidRDefault="005003FB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rPr>
          <w:trHeight w:val="1264"/>
        </w:trPr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Жилищно-коммунальная сфера: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граждан жилищем; коммунальное хозяйство; оплата содержания и ремонта жилья </w:t>
            </w:r>
          </w:p>
        </w:tc>
        <w:tc>
          <w:tcPr>
            <w:tcW w:w="1701" w:type="dxa"/>
          </w:tcPr>
          <w:p w:rsidR="00A05FA0" w:rsidRPr="00A05FA0" w:rsidRDefault="005003FB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1010</w:t>
            </w:r>
          </w:p>
        </w:tc>
        <w:tc>
          <w:tcPr>
            <w:tcW w:w="1701" w:type="dxa"/>
          </w:tcPr>
          <w:p w:rsidR="00A05FA0" w:rsidRPr="00A05FA0" w:rsidRDefault="005003FB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5003FB" w:rsidRPr="005003FB" w:rsidRDefault="005003FB" w:rsidP="005003F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003FB">
        <w:rPr>
          <w:rFonts w:ascii="Times New Roman" w:hAnsi="Times New Roman" w:cs="Times New Roman"/>
          <w:sz w:val="28"/>
          <w:szCs w:val="28"/>
        </w:rPr>
        <w:t>Наиболее актуальными остаются вопросы жилищно-комму</w:t>
      </w:r>
      <w:r>
        <w:rPr>
          <w:rFonts w:ascii="Times New Roman" w:hAnsi="Times New Roman" w:cs="Times New Roman"/>
          <w:sz w:val="28"/>
          <w:szCs w:val="28"/>
        </w:rPr>
        <w:t>нальной сферы – 1010</w:t>
      </w:r>
      <w:r w:rsidRPr="005003FB">
        <w:rPr>
          <w:rFonts w:ascii="Times New Roman" w:hAnsi="Times New Roman" w:cs="Times New Roman"/>
          <w:sz w:val="28"/>
          <w:szCs w:val="28"/>
        </w:rPr>
        <w:t xml:space="preserve"> обращений, что составляет 41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5003FB">
        <w:rPr>
          <w:rFonts w:ascii="Times New Roman" w:hAnsi="Times New Roman" w:cs="Times New Roman"/>
          <w:sz w:val="28"/>
          <w:szCs w:val="28"/>
        </w:rPr>
        <w:t xml:space="preserve"> % от общего количества.</w:t>
      </w:r>
    </w:p>
    <w:p w:rsidR="005003FB" w:rsidRPr="005003FB" w:rsidRDefault="005003FB" w:rsidP="00500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>Большое количество обращений посвящено т</w:t>
      </w:r>
      <w:r>
        <w:rPr>
          <w:rFonts w:ascii="Times New Roman" w:hAnsi="Times New Roman" w:cs="Times New Roman"/>
          <w:sz w:val="28"/>
          <w:szCs w:val="28"/>
        </w:rPr>
        <w:t>еме «Экономика» - 675</w:t>
      </w:r>
      <w:r w:rsidRPr="005003FB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27,6</w:t>
      </w:r>
      <w:r w:rsidRPr="005003FB">
        <w:rPr>
          <w:rFonts w:ascii="Times New Roman" w:hAnsi="Times New Roman" w:cs="Times New Roman"/>
          <w:sz w:val="28"/>
          <w:szCs w:val="28"/>
        </w:rPr>
        <w:t>%).</w:t>
      </w:r>
    </w:p>
    <w:p w:rsidR="005003FB" w:rsidRDefault="005003FB" w:rsidP="00500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>Право граждан на обращение в государственные органы и органы местного самоуправления закреплено Конституцией Российской Федерации. Часто граждане направляют обращения по вопросам, входящим в компетенцию Администрации города Волгодонска, в другие органы власти. Такие обращения в соответствии с ч.3 ст.8 Федерального закона от 02.06.2006 № 59-ФЗ «О порядке рассмотрения обращений граждан Российской Федерации» направляются на рассмотрение в Администрацию города Волгодонска.</w:t>
      </w:r>
    </w:p>
    <w:p w:rsidR="00315CC6" w:rsidRPr="005003FB" w:rsidRDefault="00315CC6" w:rsidP="00500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417"/>
        <w:gridCol w:w="1418"/>
        <w:gridCol w:w="1417"/>
      </w:tblGrid>
      <w:tr w:rsidR="00C47B8D" w:rsidRPr="00154EB3" w:rsidTr="001E0B32">
        <w:tc>
          <w:tcPr>
            <w:tcW w:w="851" w:type="dxa"/>
            <w:tcBorders>
              <w:bottom w:val="nil"/>
            </w:tcBorders>
          </w:tcPr>
          <w:p w:rsidR="00C47B8D" w:rsidRPr="00154EB3" w:rsidRDefault="00C47B8D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5387" w:type="dxa"/>
            <w:tcBorders>
              <w:bottom w:val="nil"/>
            </w:tcBorders>
          </w:tcPr>
          <w:p w:rsidR="00C47B8D" w:rsidRPr="00154EB3" w:rsidRDefault="002A1BF9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0D1B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252" w:type="dxa"/>
            <w:gridSpan w:val="3"/>
          </w:tcPr>
          <w:p w:rsidR="00C47B8D" w:rsidRPr="00154EB3" w:rsidRDefault="00C47B8D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5003FB" w:rsidRPr="00154EB3" w:rsidTr="001E0B32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003FB" w:rsidRPr="00154EB3" w:rsidRDefault="005003FB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5003FB" w:rsidRPr="00154EB3" w:rsidRDefault="005003FB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3FB" w:rsidRPr="00154EB3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03FB" w:rsidRPr="00154EB3" w:rsidRDefault="005003FB" w:rsidP="00AC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7AD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3FB" w:rsidRPr="00154EB3" w:rsidRDefault="005003FB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уменьш.,</w:t>
            </w:r>
          </w:p>
          <w:p w:rsidR="005003FB" w:rsidRPr="00154EB3" w:rsidRDefault="005003FB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proofErr w:type="spell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3FB" w:rsidRPr="00154EB3" w:rsidRDefault="005003FB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(един)</w:t>
            </w:r>
          </w:p>
        </w:tc>
      </w:tr>
      <w:tr w:rsidR="005003FB" w:rsidRPr="00154EB3" w:rsidTr="001E0B32">
        <w:tc>
          <w:tcPr>
            <w:tcW w:w="851" w:type="dxa"/>
          </w:tcPr>
          <w:p w:rsidR="005003FB" w:rsidRPr="00154EB3" w:rsidRDefault="005003FB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003FB" w:rsidRDefault="005003FB" w:rsidP="0019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Ростовской области, </w:t>
            </w:r>
          </w:p>
          <w:p w:rsidR="005003FB" w:rsidRDefault="005003FB" w:rsidP="002A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направлено из Управления Президента РФ</w:t>
            </w:r>
          </w:p>
        </w:tc>
        <w:tc>
          <w:tcPr>
            <w:tcW w:w="1417" w:type="dxa"/>
          </w:tcPr>
          <w:p w:rsidR="005003FB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:rsidR="005003FB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FB" w:rsidRPr="00154EB3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003FB" w:rsidRDefault="0052765A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  <w:p w:rsidR="0052765A" w:rsidRDefault="0052765A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5A" w:rsidRPr="00154EB3" w:rsidRDefault="0052765A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5003FB" w:rsidRDefault="0052765A" w:rsidP="0023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  <w:p w:rsidR="005003FB" w:rsidRPr="00154EB3" w:rsidRDefault="0052765A" w:rsidP="0023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5003FB" w:rsidRPr="00154EB3" w:rsidTr="001E0B32">
        <w:tc>
          <w:tcPr>
            <w:tcW w:w="851" w:type="dxa"/>
          </w:tcPr>
          <w:p w:rsidR="005003FB" w:rsidRPr="00154EB3" w:rsidRDefault="005003FB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003FB" w:rsidRPr="00154EB3" w:rsidRDefault="005003FB" w:rsidP="000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5003FB" w:rsidRPr="00154EB3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003FB" w:rsidRPr="00154EB3" w:rsidRDefault="0052765A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003FB" w:rsidRPr="00154EB3" w:rsidRDefault="0052765A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5003FB" w:rsidRPr="00154EB3" w:rsidTr="001E0B32">
        <w:tc>
          <w:tcPr>
            <w:tcW w:w="851" w:type="dxa"/>
          </w:tcPr>
          <w:p w:rsidR="005003FB" w:rsidRPr="00154EB3" w:rsidRDefault="005003FB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003FB" w:rsidRPr="00154EB3" w:rsidRDefault="005003FB" w:rsidP="0079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5003FB" w:rsidRPr="00154EB3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003FB" w:rsidRPr="00154EB3" w:rsidRDefault="0052765A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003FB" w:rsidRPr="00154EB3" w:rsidRDefault="0052765A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прежнем уровне</w:t>
            </w:r>
          </w:p>
        </w:tc>
      </w:tr>
      <w:tr w:rsidR="005003FB" w:rsidRPr="00154EB3" w:rsidTr="001E0B32">
        <w:tc>
          <w:tcPr>
            <w:tcW w:w="851" w:type="dxa"/>
          </w:tcPr>
          <w:p w:rsidR="005003FB" w:rsidRPr="00154EB3" w:rsidRDefault="005003FB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003FB" w:rsidRPr="00154EB3" w:rsidRDefault="005003FB" w:rsidP="00B86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5003FB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003FB" w:rsidRDefault="0052765A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003FB" w:rsidRPr="00154EB3" w:rsidRDefault="005003FB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7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03FB" w:rsidRPr="00154EB3" w:rsidTr="001E0B32">
        <w:tc>
          <w:tcPr>
            <w:tcW w:w="851" w:type="dxa"/>
          </w:tcPr>
          <w:p w:rsidR="005003FB" w:rsidRPr="00154EB3" w:rsidRDefault="005003FB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003FB" w:rsidRPr="00154EB3" w:rsidRDefault="005003FB" w:rsidP="00186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5003FB" w:rsidRPr="00154EB3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003FB" w:rsidRPr="00154EB3" w:rsidRDefault="0052765A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003FB" w:rsidRPr="00154EB3" w:rsidRDefault="005003FB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2765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5003FB" w:rsidRPr="00154EB3" w:rsidTr="001E0B32">
        <w:tc>
          <w:tcPr>
            <w:tcW w:w="851" w:type="dxa"/>
            <w:tcBorders>
              <w:bottom w:val="single" w:sz="4" w:space="0" w:color="auto"/>
            </w:tcBorders>
          </w:tcPr>
          <w:p w:rsidR="005003FB" w:rsidRPr="00154EB3" w:rsidRDefault="005003FB" w:rsidP="009D4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003FB" w:rsidRPr="00154EB3" w:rsidRDefault="005003FB" w:rsidP="00907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Общественная приемная Губернатора РО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3FB" w:rsidRPr="00154EB3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03FB" w:rsidRPr="00154EB3" w:rsidRDefault="0052765A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3FB" w:rsidRPr="00154EB3" w:rsidRDefault="005003FB" w:rsidP="0005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7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03FB" w:rsidRPr="00154EB3" w:rsidTr="001E0B32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003FB" w:rsidP="009D4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003FB" w:rsidP="00130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Дума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003FB" w:rsidP="00850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2765A" w:rsidP="00235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2765A" w:rsidP="0052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</w:tr>
      <w:tr w:rsidR="005003FB" w:rsidRPr="00154EB3" w:rsidTr="001E0B3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003FB" w:rsidP="002301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003FB" w:rsidP="00D00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003FB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2765A" w:rsidP="00A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03FB" w:rsidRPr="00154EB3" w:rsidRDefault="0052765A" w:rsidP="00054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</w:tbl>
    <w:p w:rsidR="000868DC" w:rsidRPr="00154EB3" w:rsidRDefault="000868DC" w:rsidP="000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67" w:rsidRPr="00520667" w:rsidRDefault="00520667" w:rsidP="00520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67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7271D5">
        <w:rPr>
          <w:rFonts w:ascii="Times New Roman" w:hAnsi="Times New Roman" w:cs="Times New Roman"/>
          <w:sz w:val="28"/>
          <w:szCs w:val="28"/>
        </w:rPr>
        <w:t>увеличилось</w:t>
      </w:r>
      <w:r w:rsidRPr="00520667">
        <w:rPr>
          <w:rFonts w:ascii="Times New Roman" w:hAnsi="Times New Roman" w:cs="Times New Roman"/>
          <w:sz w:val="28"/>
          <w:szCs w:val="28"/>
        </w:rPr>
        <w:t xml:space="preserve"> количество обращений, поступивших в Администрацию города Волгодонска </w:t>
      </w:r>
      <w:r w:rsidR="0052765A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Ростовской области (на 168 обращений), </w:t>
      </w:r>
      <w:r w:rsidR="007271D5">
        <w:rPr>
          <w:rFonts w:ascii="Times New Roman" w:hAnsi="Times New Roman" w:cs="Times New Roman"/>
          <w:sz w:val="28"/>
          <w:szCs w:val="28"/>
        </w:rPr>
        <w:t>из Правите</w:t>
      </w:r>
      <w:r w:rsidR="0052765A">
        <w:rPr>
          <w:rFonts w:ascii="Times New Roman" w:hAnsi="Times New Roman" w:cs="Times New Roman"/>
          <w:sz w:val="28"/>
          <w:szCs w:val="28"/>
        </w:rPr>
        <w:t>льства Ростовской области (на 15</w:t>
      </w:r>
      <w:r w:rsidR="00BB521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271D5">
        <w:rPr>
          <w:rFonts w:ascii="Times New Roman" w:hAnsi="Times New Roman" w:cs="Times New Roman"/>
          <w:sz w:val="28"/>
          <w:szCs w:val="28"/>
        </w:rPr>
        <w:t xml:space="preserve">), </w:t>
      </w:r>
      <w:r w:rsidR="0052765A">
        <w:rPr>
          <w:rFonts w:ascii="Times New Roman" w:hAnsi="Times New Roman" w:cs="Times New Roman"/>
          <w:sz w:val="28"/>
          <w:szCs w:val="28"/>
        </w:rPr>
        <w:t>снизилось количество обращений,</w:t>
      </w:r>
      <w:r w:rsidR="007271D5">
        <w:rPr>
          <w:rFonts w:ascii="Times New Roman" w:hAnsi="Times New Roman" w:cs="Times New Roman"/>
          <w:sz w:val="28"/>
          <w:szCs w:val="28"/>
        </w:rPr>
        <w:t xml:space="preserve"> а</w:t>
      </w:r>
      <w:r w:rsidR="0052765A">
        <w:rPr>
          <w:rFonts w:ascii="Times New Roman" w:hAnsi="Times New Roman" w:cs="Times New Roman"/>
          <w:sz w:val="28"/>
          <w:szCs w:val="28"/>
        </w:rPr>
        <w:t>дресованных Президенту РФ (на 35</w:t>
      </w:r>
      <w:r w:rsidR="00BB521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271D5">
        <w:rPr>
          <w:rFonts w:ascii="Times New Roman" w:hAnsi="Times New Roman" w:cs="Times New Roman"/>
          <w:sz w:val="28"/>
          <w:szCs w:val="28"/>
        </w:rPr>
        <w:t>)</w:t>
      </w:r>
      <w:r w:rsidR="0052765A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="005276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52765A">
        <w:rPr>
          <w:rFonts w:ascii="Times New Roman" w:hAnsi="Times New Roman" w:cs="Times New Roman"/>
          <w:sz w:val="28"/>
          <w:szCs w:val="28"/>
        </w:rPr>
        <w:t xml:space="preserve"> городской Думы (на 28 обращений</w:t>
      </w:r>
      <w:r w:rsidR="00315CC6">
        <w:rPr>
          <w:rFonts w:ascii="Times New Roman" w:hAnsi="Times New Roman" w:cs="Times New Roman"/>
          <w:sz w:val="28"/>
          <w:szCs w:val="28"/>
        </w:rPr>
        <w:t>)</w:t>
      </w:r>
      <w:r w:rsidR="007271D5">
        <w:rPr>
          <w:rFonts w:ascii="Times New Roman" w:hAnsi="Times New Roman" w:cs="Times New Roman"/>
          <w:sz w:val="28"/>
          <w:szCs w:val="28"/>
        </w:rPr>
        <w:t>.</w:t>
      </w:r>
      <w:r w:rsidRPr="0052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E5" w:rsidRPr="00F462E0" w:rsidRDefault="00520667" w:rsidP="003E4AD8">
      <w:pPr>
        <w:jc w:val="both"/>
        <w:rPr>
          <w:rFonts w:ascii="Times New Roman" w:hAnsi="Times New Roman" w:cs="Times New Roman"/>
          <w:sz w:val="28"/>
          <w:szCs w:val="28"/>
        </w:rPr>
      </w:pPr>
      <w:r w:rsidRPr="00520667">
        <w:rPr>
          <w:rFonts w:ascii="Times New Roman" w:hAnsi="Times New Roman" w:cs="Times New Roman"/>
          <w:sz w:val="28"/>
          <w:szCs w:val="28"/>
        </w:rPr>
        <w:tab/>
      </w:r>
      <w:r w:rsidR="00690103">
        <w:rPr>
          <w:rFonts w:ascii="Times New Roman" w:hAnsi="Times New Roman" w:cs="Times New Roman"/>
          <w:sz w:val="28"/>
          <w:szCs w:val="28"/>
        </w:rPr>
        <w:t>В</w:t>
      </w:r>
      <w:r w:rsidR="00F16867">
        <w:rPr>
          <w:rFonts w:ascii="Times New Roman" w:hAnsi="Times New Roman" w:cs="Times New Roman"/>
          <w:sz w:val="28"/>
          <w:szCs w:val="28"/>
        </w:rPr>
        <w:t xml:space="preserve"> </w:t>
      </w:r>
      <w:r w:rsidR="00315CC6">
        <w:rPr>
          <w:rFonts w:ascii="Times New Roman" w:hAnsi="Times New Roman" w:cs="Times New Roman"/>
          <w:sz w:val="28"/>
          <w:szCs w:val="28"/>
        </w:rPr>
        <w:t>2016</w:t>
      </w:r>
      <w:r w:rsidR="00845084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03">
        <w:rPr>
          <w:rFonts w:ascii="Times New Roman" w:hAnsi="Times New Roman" w:cs="Times New Roman"/>
          <w:sz w:val="28"/>
          <w:szCs w:val="28"/>
        </w:rPr>
        <w:t>у поступили</w:t>
      </w:r>
      <w:r w:rsidR="00F16867">
        <w:rPr>
          <w:rFonts w:ascii="Times New Roman" w:hAnsi="Times New Roman" w:cs="Times New Roman"/>
          <w:sz w:val="28"/>
          <w:szCs w:val="28"/>
        </w:rPr>
        <w:t xml:space="preserve"> </w:t>
      </w:r>
      <w:r w:rsidR="00315CC6">
        <w:rPr>
          <w:rFonts w:ascii="Times New Roman" w:hAnsi="Times New Roman" w:cs="Times New Roman"/>
          <w:sz w:val="28"/>
          <w:szCs w:val="28"/>
        </w:rPr>
        <w:t>116</w:t>
      </w:r>
      <w:r w:rsidR="00111E0F">
        <w:rPr>
          <w:rFonts w:ascii="Times New Roman" w:hAnsi="Times New Roman" w:cs="Times New Roman"/>
          <w:sz w:val="28"/>
          <w:szCs w:val="28"/>
        </w:rPr>
        <w:t xml:space="preserve"> коллективных </w:t>
      </w:r>
      <w:r w:rsidR="00B11CA7">
        <w:rPr>
          <w:rFonts w:ascii="Times New Roman" w:hAnsi="Times New Roman" w:cs="Times New Roman"/>
          <w:sz w:val="28"/>
          <w:szCs w:val="28"/>
        </w:rPr>
        <w:t>обращений</w:t>
      </w:r>
      <w:r w:rsidR="00111E0F">
        <w:rPr>
          <w:rFonts w:ascii="Times New Roman" w:hAnsi="Times New Roman" w:cs="Times New Roman"/>
          <w:sz w:val="28"/>
          <w:szCs w:val="28"/>
        </w:rPr>
        <w:t xml:space="preserve"> (</w:t>
      </w:r>
      <w:r w:rsidR="00315CC6">
        <w:rPr>
          <w:rFonts w:ascii="Times New Roman" w:hAnsi="Times New Roman" w:cs="Times New Roman"/>
          <w:sz w:val="28"/>
          <w:szCs w:val="28"/>
        </w:rPr>
        <w:t>5,4</w:t>
      </w:r>
      <w:r w:rsidR="00487322">
        <w:rPr>
          <w:rFonts w:ascii="Times New Roman" w:hAnsi="Times New Roman" w:cs="Times New Roman"/>
          <w:sz w:val="28"/>
          <w:szCs w:val="28"/>
        </w:rPr>
        <w:t xml:space="preserve">% </w:t>
      </w:r>
      <w:r w:rsidR="00F16867">
        <w:rPr>
          <w:rFonts w:ascii="Times New Roman" w:hAnsi="Times New Roman" w:cs="Times New Roman"/>
          <w:sz w:val="28"/>
          <w:szCs w:val="28"/>
        </w:rPr>
        <w:t>от общего количества).</w:t>
      </w:r>
      <w:r w:rsidR="005847F6">
        <w:rPr>
          <w:rFonts w:ascii="Times New Roman" w:hAnsi="Times New Roman" w:cs="Times New Roman"/>
          <w:sz w:val="28"/>
          <w:szCs w:val="28"/>
        </w:rPr>
        <w:t xml:space="preserve"> </w:t>
      </w:r>
      <w:r w:rsidR="000868DC" w:rsidRPr="00154EB3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315CC6">
        <w:rPr>
          <w:rFonts w:ascii="Times New Roman" w:hAnsi="Times New Roman" w:cs="Times New Roman"/>
          <w:sz w:val="28"/>
          <w:szCs w:val="28"/>
        </w:rPr>
        <w:t>2015</w:t>
      </w:r>
      <w:r w:rsidR="0084508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996BDC" w:rsidRPr="00154EB3">
        <w:rPr>
          <w:rFonts w:ascii="Times New Roman" w:hAnsi="Times New Roman" w:cs="Times New Roman"/>
          <w:sz w:val="28"/>
          <w:szCs w:val="28"/>
        </w:rPr>
        <w:t xml:space="preserve"> </w:t>
      </w:r>
      <w:r w:rsidR="00845084">
        <w:rPr>
          <w:rFonts w:ascii="Times New Roman" w:hAnsi="Times New Roman" w:cs="Times New Roman"/>
          <w:sz w:val="28"/>
          <w:szCs w:val="28"/>
        </w:rPr>
        <w:t>процент</w:t>
      </w:r>
      <w:r w:rsidR="002D1628">
        <w:rPr>
          <w:rFonts w:ascii="Times New Roman" w:hAnsi="Times New Roman" w:cs="Times New Roman"/>
          <w:sz w:val="28"/>
          <w:szCs w:val="28"/>
        </w:rPr>
        <w:t xml:space="preserve"> </w:t>
      </w:r>
      <w:r w:rsidR="00F16867" w:rsidRPr="00154EB3">
        <w:rPr>
          <w:rFonts w:ascii="Times New Roman" w:hAnsi="Times New Roman" w:cs="Times New Roman"/>
          <w:sz w:val="28"/>
          <w:szCs w:val="28"/>
        </w:rPr>
        <w:t xml:space="preserve">коллективных обращений </w:t>
      </w:r>
      <w:r w:rsidR="00A331B2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315CC6">
        <w:rPr>
          <w:rFonts w:ascii="Times New Roman" w:hAnsi="Times New Roman" w:cs="Times New Roman"/>
          <w:sz w:val="28"/>
          <w:szCs w:val="28"/>
        </w:rPr>
        <w:t>на 0,9</w:t>
      </w:r>
      <w:r w:rsidR="00A331B2" w:rsidRPr="00D217BE">
        <w:rPr>
          <w:rFonts w:ascii="Times New Roman" w:hAnsi="Times New Roman" w:cs="Times New Roman"/>
          <w:sz w:val="28"/>
          <w:szCs w:val="28"/>
        </w:rPr>
        <w:t xml:space="preserve"> %</w:t>
      </w:r>
      <w:r w:rsidR="000868DC" w:rsidRPr="00D217BE">
        <w:rPr>
          <w:rFonts w:ascii="Times New Roman" w:hAnsi="Times New Roman" w:cs="Times New Roman"/>
          <w:sz w:val="28"/>
          <w:szCs w:val="28"/>
        </w:rPr>
        <w:t xml:space="preserve"> </w:t>
      </w:r>
      <w:r w:rsidR="00845084" w:rsidRPr="00D217BE">
        <w:rPr>
          <w:rFonts w:ascii="Times New Roman" w:hAnsi="Times New Roman" w:cs="Times New Roman"/>
          <w:sz w:val="28"/>
          <w:szCs w:val="28"/>
        </w:rPr>
        <w:t>(</w:t>
      </w:r>
      <w:r w:rsidR="00315CC6">
        <w:rPr>
          <w:rFonts w:ascii="Times New Roman" w:hAnsi="Times New Roman" w:cs="Times New Roman"/>
          <w:sz w:val="28"/>
          <w:szCs w:val="28"/>
        </w:rPr>
        <w:t>142 обращения</w:t>
      </w:r>
      <w:r w:rsidR="002D1628">
        <w:rPr>
          <w:rFonts w:ascii="Times New Roman" w:hAnsi="Times New Roman" w:cs="Times New Roman"/>
          <w:sz w:val="28"/>
          <w:szCs w:val="28"/>
        </w:rPr>
        <w:t xml:space="preserve"> в прошлом году -</w:t>
      </w:r>
      <w:r w:rsidR="00573006">
        <w:rPr>
          <w:rFonts w:ascii="Times New Roman" w:hAnsi="Times New Roman" w:cs="Times New Roman"/>
          <w:sz w:val="28"/>
          <w:szCs w:val="28"/>
        </w:rPr>
        <w:t xml:space="preserve"> </w:t>
      </w:r>
      <w:r w:rsidR="00315CC6">
        <w:rPr>
          <w:rFonts w:ascii="Times New Roman" w:hAnsi="Times New Roman" w:cs="Times New Roman"/>
          <w:sz w:val="28"/>
          <w:szCs w:val="28"/>
        </w:rPr>
        <w:t>6,3</w:t>
      </w:r>
      <w:r w:rsidR="002D1628">
        <w:rPr>
          <w:rFonts w:ascii="Times New Roman" w:hAnsi="Times New Roman" w:cs="Times New Roman"/>
          <w:sz w:val="28"/>
          <w:szCs w:val="28"/>
        </w:rPr>
        <w:t>%</w:t>
      </w:r>
      <w:r w:rsidR="00845084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="002D162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81015" w:rsidRDefault="00181015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Сравнительное количество коллективных обращений граждан</w:t>
      </w:r>
    </w:p>
    <w:p w:rsidR="00F27FE5" w:rsidRDefault="00315CC6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(2015</w:t>
      </w:r>
      <w:r w:rsidR="00845084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8450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27FE5">
        <w:rPr>
          <w:rFonts w:ascii="Times New Roman" w:hAnsi="Times New Roman" w:cs="Times New Roman"/>
          <w:b/>
          <w:sz w:val="28"/>
          <w:szCs w:val="28"/>
        </w:rPr>
        <w:t>)</w:t>
      </w:r>
    </w:p>
    <w:p w:rsidR="009E3B04" w:rsidRPr="000E39BE" w:rsidRDefault="000868DC" w:rsidP="00F27FE5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EB3">
        <w:rPr>
          <w:rFonts w:ascii="Times New Roman" w:hAnsi="Times New Roman" w:cs="Times New Roman"/>
          <w:sz w:val="28"/>
          <w:szCs w:val="28"/>
        </w:rPr>
        <w:tab/>
      </w:r>
      <w:r w:rsidR="00315CC6" w:rsidRPr="00315C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1625" cy="2486025"/>
            <wp:effectExtent l="19050" t="0" r="952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CC6" w:rsidRDefault="00315CC6" w:rsidP="00400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8E2" w:rsidRPr="00CB7D34" w:rsidRDefault="00D05756" w:rsidP="00400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значимые вопросы коллективных </w:t>
      </w:r>
      <w:r w:rsidR="000F609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="003E0E05">
        <w:rPr>
          <w:rFonts w:ascii="Times New Roman" w:hAnsi="Times New Roman" w:cs="Times New Roman"/>
          <w:sz w:val="28"/>
          <w:szCs w:val="28"/>
        </w:rPr>
        <w:t>не</w:t>
      </w:r>
      <w:r w:rsidR="00CB7D34" w:rsidRPr="00CB7D34">
        <w:rPr>
          <w:rFonts w:ascii="Times New Roman" w:hAnsi="Times New Roman" w:cs="Times New Roman"/>
          <w:sz w:val="28"/>
          <w:szCs w:val="28"/>
        </w:rPr>
        <w:t>удовлетвори</w:t>
      </w:r>
      <w:r w:rsidR="000F609F">
        <w:rPr>
          <w:rFonts w:ascii="Times New Roman" w:hAnsi="Times New Roman" w:cs="Times New Roman"/>
          <w:sz w:val="28"/>
          <w:szCs w:val="28"/>
        </w:rPr>
        <w:t>тельное состояние дорог, обрезка</w:t>
      </w:r>
      <w:r w:rsidR="00CB7D34" w:rsidRPr="00CB7D34">
        <w:rPr>
          <w:rFonts w:ascii="Times New Roman" w:hAnsi="Times New Roman" w:cs="Times New Roman"/>
          <w:sz w:val="28"/>
          <w:szCs w:val="28"/>
        </w:rPr>
        <w:t xml:space="preserve"> деревьев, </w:t>
      </w:r>
      <w:proofErr w:type="gramStart"/>
      <w:r w:rsidR="00CB7D34" w:rsidRPr="00CB7D34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CB7D34" w:rsidRPr="00CB7D34">
        <w:rPr>
          <w:rFonts w:ascii="Times New Roman" w:hAnsi="Times New Roman" w:cs="Times New Roman"/>
          <w:sz w:val="28"/>
          <w:szCs w:val="28"/>
        </w:rPr>
        <w:t xml:space="preserve"> процедуры проведения общего собрания собственников МКД, </w:t>
      </w:r>
      <w:r w:rsidR="005677AB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="00D45BAB">
        <w:rPr>
          <w:rFonts w:ascii="Times New Roman" w:hAnsi="Times New Roman" w:cs="Times New Roman"/>
          <w:sz w:val="28"/>
          <w:szCs w:val="28"/>
        </w:rPr>
        <w:t>с</w:t>
      </w:r>
      <w:r w:rsidR="004D24F4">
        <w:rPr>
          <w:rFonts w:ascii="Times New Roman" w:hAnsi="Times New Roman" w:cs="Times New Roman"/>
          <w:sz w:val="28"/>
          <w:szCs w:val="28"/>
        </w:rPr>
        <w:t xml:space="preserve"> размещением автостоянки, </w:t>
      </w:r>
      <w:r w:rsidR="00B678A8">
        <w:rPr>
          <w:rFonts w:ascii="Times New Roman" w:hAnsi="Times New Roman" w:cs="Times New Roman"/>
          <w:sz w:val="28"/>
          <w:szCs w:val="28"/>
        </w:rPr>
        <w:t xml:space="preserve">нарушение тишины и покоя в ночное время, о строительстве ливневой канализации и </w:t>
      </w:r>
      <w:r w:rsidR="00CB7D34" w:rsidRPr="00CB7D34">
        <w:rPr>
          <w:rFonts w:ascii="Times New Roman" w:hAnsi="Times New Roman" w:cs="Times New Roman"/>
          <w:sz w:val="28"/>
          <w:szCs w:val="28"/>
        </w:rPr>
        <w:t>др</w:t>
      </w:r>
      <w:r w:rsidR="008F1F76">
        <w:rPr>
          <w:rFonts w:ascii="Times New Roman" w:hAnsi="Times New Roman" w:cs="Times New Roman"/>
          <w:sz w:val="28"/>
          <w:szCs w:val="28"/>
        </w:rPr>
        <w:t>.</w:t>
      </w:r>
    </w:p>
    <w:p w:rsidR="00400CAC" w:rsidRDefault="00B678A8" w:rsidP="00573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D45B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 </w:t>
      </w:r>
      <w:r w:rsidR="00536897">
        <w:rPr>
          <w:rFonts w:ascii="Times New Roman" w:hAnsi="Times New Roman" w:cs="Times New Roman"/>
          <w:sz w:val="28"/>
          <w:szCs w:val="28"/>
        </w:rPr>
        <w:t>16</w:t>
      </w:r>
      <w:r w:rsidR="00423AEA" w:rsidRPr="00D45BAB">
        <w:rPr>
          <w:rFonts w:ascii="Times New Roman" w:hAnsi="Times New Roman" w:cs="Times New Roman"/>
          <w:sz w:val="28"/>
          <w:szCs w:val="28"/>
        </w:rPr>
        <w:t xml:space="preserve"> </w:t>
      </w:r>
      <w:r w:rsidR="00D45BAB" w:rsidRPr="00D45BAB">
        <w:rPr>
          <w:rFonts w:ascii="Times New Roman" w:hAnsi="Times New Roman" w:cs="Times New Roman"/>
          <w:sz w:val="28"/>
          <w:szCs w:val="28"/>
        </w:rPr>
        <w:t>заявител</w:t>
      </w:r>
      <w:r w:rsidR="00B27FB0">
        <w:rPr>
          <w:rFonts w:ascii="Times New Roman" w:hAnsi="Times New Roman" w:cs="Times New Roman"/>
          <w:sz w:val="28"/>
          <w:szCs w:val="28"/>
        </w:rPr>
        <w:t>ей</w:t>
      </w:r>
      <w:r w:rsidR="00536897">
        <w:rPr>
          <w:rFonts w:ascii="Times New Roman" w:hAnsi="Times New Roman" w:cs="Times New Roman"/>
          <w:sz w:val="28"/>
          <w:szCs w:val="28"/>
        </w:rPr>
        <w:t xml:space="preserve"> (0,7</w:t>
      </w:r>
      <w:r w:rsidR="00AA3085">
        <w:rPr>
          <w:rFonts w:ascii="Times New Roman" w:hAnsi="Times New Roman" w:cs="Times New Roman"/>
          <w:sz w:val="28"/>
          <w:szCs w:val="28"/>
        </w:rPr>
        <w:t xml:space="preserve"> </w:t>
      </w:r>
      <w:r w:rsidR="00C80606">
        <w:rPr>
          <w:rFonts w:ascii="Times New Roman" w:hAnsi="Times New Roman" w:cs="Times New Roman"/>
          <w:sz w:val="28"/>
          <w:szCs w:val="28"/>
        </w:rPr>
        <w:t>% от общего количества обращений)</w:t>
      </w:r>
      <w:r w:rsidR="00B27FB0">
        <w:rPr>
          <w:rFonts w:ascii="Times New Roman" w:hAnsi="Times New Roman" w:cs="Times New Roman"/>
          <w:sz w:val="28"/>
          <w:szCs w:val="28"/>
        </w:rPr>
        <w:t xml:space="preserve"> обратились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 с прос</w:t>
      </w:r>
      <w:r w:rsidR="00E10F9B">
        <w:rPr>
          <w:rFonts w:ascii="Times New Roman" w:hAnsi="Times New Roman" w:cs="Times New Roman"/>
          <w:sz w:val="28"/>
          <w:szCs w:val="28"/>
        </w:rPr>
        <w:t>ь</w:t>
      </w:r>
      <w:r w:rsidR="00536897">
        <w:rPr>
          <w:rFonts w:ascii="Times New Roman" w:hAnsi="Times New Roman" w:cs="Times New Roman"/>
          <w:sz w:val="28"/>
          <w:szCs w:val="28"/>
        </w:rPr>
        <w:t>бой о повторном рассмотрении их</w:t>
      </w:r>
      <w:r w:rsidR="00E10F9B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: </w:t>
      </w:r>
      <w:r w:rsidR="00536897">
        <w:rPr>
          <w:rFonts w:ascii="Times New Roman" w:hAnsi="Times New Roman" w:cs="Times New Roman"/>
          <w:sz w:val="28"/>
          <w:szCs w:val="28"/>
        </w:rPr>
        <w:t>о строительстве дороги, установке светофора, несогласии с установкой дорожных знаков, спиле деревьев и др.</w:t>
      </w:r>
      <w:r w:rsidR="00FD24A7">
        <w:rPr>
          <w:rFonts w:ascii="Times New Roman" w:hAnsi="Times New Roman" w:cs="Times New Roman"/>
          <w:sz w:val="28"/>
          <w:szCs w:val="28"/>
        </w:rPr>
        <w:t xml:space="preserve"> 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На </w:t>
      </w:r>
      <w:r w:rsidR="00BE5CE1">
        <w:rPr>
          <w:rFonts w:ascii="Times New Roman" w:hAnsi="Times New Roman" w:cs="Times New Roman"/>
          <w:sz w:val="28"/>
          <w:szCs w:val="28"/>
        </w:rPr>
        <w:t>указанные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 обращения заявителям направлены ответы-разъяснения в с</w:t>
      </w:r>
      <w:r w:rsidR="00CD6952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D91185">
        <w:rPr>
          <w:rFonts w:ascii="Times New Roman" w:hAnsi="Times New Roman" w:cs="Times New Roman"/>
          <w:sz w:val="28"/>
          <w:szCs w:val="28"/>
        </w:rPr>
        <w:t>.</w:t>
      </w:r>
      <w:r w:rsidR="00C8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BB" w:rsidRDefault="002B0CF8" w:rsidP="00267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2317 обращений поставлены на контроль, </w:t>
      </w:r>
      <w:r w:rsidR="0055529F">
        <w:rPr>
          <w:rFonts w:ascii="Times New Roman" w:hAnsi="Times New Roman" w:cs="Times New Roman"/>
          <w:sz w:val="28"/>
          <w:szCs w:val="28"/>
        </w:rPr>
        <w:t>2249</w:t>
      </w:r>
      <w:r w:rsidR="00267EBB">
        <w:rPr>
          <w:rFonts w:ascii="Times New Roman" w:hAnsi="Times New Roman" w:cs="Times New Roman"/>
          <w:sz w:val="28"/>
          <w:szCs w:val="28"/>
        </w:rPr>
        <w:t xml:space="preserve"> обращений исполнены в установ</w:t>
      </w:r>
      <w:r>
        <w:rPr>
          <w:rFonts w:ascii="Times New Roman" w:hAnsi="Times New Roman" w:cs="Times New Roman"/>
          <w:sz w:val="28"/>
          <w:szCs w:val="28"/>
        </w:rPr>
        <w:t xml:space="preserve">ленные сроки, срок исполнения </w:t>
      </w:r>
      <w:r w:rsidR="0055529F">
        <w:rPr>
          <w:rFonts w:ascii="Times New Roman" w:hAnsi="Times New Roman" w:cs="Times New Roman"/>
          <w:sz w:val="28"/>
          <w:szCs w:val="28"/>
        </w:rPr>
        <w:t>68</w:t>
      </w:r>
      <w:r w:rsidR="00267EBB">
        <w:rPr>
          <w:rFonts w:ascii="Times New Roman" w:hAnsi="Times New Roman" w:cs="Times New Roman"/>
          <w:sz w:val="28"/>
          <w:szCs w:val="28"/>
        </w:rPr>
        <w:t xml:space="preserve"> обращений истекает в 2016 году.</w:t>
      </w:r>
    </w:p>
    <w:p w:rsidR="00400CAC" w:rsidRPr="00400CAC" w:rsidRDefault="00400CAC" w:rsidP="005730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CA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45B6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 отдельные вопросы рассматривались с выездом на место, с участием заявителя либо комиссионно.</w:t>
      </w:r>
    </w:p>
    <w:p w:rsidR="00216D70" w:rsidRDefault="00216D7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90" w:rsidRPr="002B0CF8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F8">
        <w:rPr>
          <w:rFonts w:ascii="Times New Roman" w:hAnsi="Times New Roman" w:cs="Times New Roman"/>
          <w:b/>
          <w:sz w:val="28"/>
          <w:szCs w:val="28"/>
        </w:rPr>
        <w:t>Вид рассмотрения обращений граждан</w:t>
      </w:r>
    </w:p>
    <w:p w:rsidR="00B03790" w:rsidRPr="002B0CF8" w:rsidRDefault="00AA3085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F8">
        <w:rPr>
          <w:rFonts w:ascii="Times New Roman" w:hAnsi="Times New Roman" w:cs="Times New Roman"/>
          <w:b/>
          <w:sz w:val="28"/>
          <w:szCs w:val="28"/>
        </w:rPr>
        <w:t>(</w:t>
      </w:r>
      <w:r w:rsidR="00B03790" w:rsidRPr="002B0CF8">
        <w:rPr>
          <w:rFonts w:ascii="Times New Roman" w:hAnsi="Times New Roman" w:cs="Times New Roman"/>
          <w:b/>
          <w:sz w:val="28"/>
          <w:szCs w:val="28"/>
        </w:rPr>
        <w:t>201</w:t>
      </w:r>
      <w:r w:rsidR="002B0CF8" w:rsidRPr="002B0CF8">
        <w:rPr>
          <w:rFonts w:ascii="Times New Roman" w:hAnsi="Times New Roman" w:cs="Times New Roman"/>
          <w:b/>
          <w:sz w:val="28"/>
          <w:szCs w:val="28"/>
        </w:rPr>
        <w:t>5</w:t>
      </w:r>
      <w:r w:rsidRPr="002B0CF8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B03790" w:rsidRPr="002B0CF8">
        <w:rPr>
          <w:rFonts w:ascii="Times New Roman" w:hAnsi="Times New Roman" w:cs="Times New Roman"/>
          <w:b/>
          <w:sz w:val="28"/>
          <w:szCs w:val="28"/>
        </w:rPr>
        <w:t>201</w:t>
      </w:r>
      <w:r w:rsidR="002B0CF8" w:rsidRPr="002B0CF8">
        <w:rPr>
          <w:rFonts w:ascii="Times New Roman" w:hAnsi="Times New Roman" w:cs="Times New Roman"/>
          <w:b/>
          <w:sz w:val="28"/>
          <w:szCs w:val="28"/>
        </w:rPr>
        <w:t>6</w:t>
      </w:r>
      <w:r w:rsidRPr="002B0CF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3790" w:rsidRPr="002B0C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03790" w:rsidRPr="002B0C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03790" w:rsidRPr="002B0CF8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B03790" w:rsidRPr="0055529F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534"/>
        <w:gridCol w:w="3402"/>
        <w:gridCol w:w="1842"/>
        <w:gridCol w:w="1418"/>
        <w:gridCol w:w="1701"/>
        <w:gridCol w:w="1524"/>
      </w:tblGrid>
      <w:tr w:rsidR="00B03790" w:rsidRPr="0055529F" w:rsidTr="00181015">
        <w:tc>
          <w:tcPr>
            <w:tcW w:w="534" w:type="dxa"/>
          </w:tcPr>
          <w:p w:rsidR="00B03790" w:rsidRPr="00E14F5D" w:rsidRDefault="00B03790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03790" w:rsidRPr="00E14F5D" w:rsidRDefault="00181015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B03790" w:rsidRPr="00E14F5D" w:rsidRDefault="00B03790" w:rsidP="0018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64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64EC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</w:tcPr>
          <w:p w:rsidR="00B03790" w:rsidRPr="0055529F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4E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64ECB" w:rsidRPr="00064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4E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64ECB" w:rsidRPr="00064EC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B03790" w:rsidRPr="003713ED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>% от общего  кол-ва</w:t>
            </w:r>
          </w:p>
        </w:tc>
        <w:tc>
          <w:tcPr>
            <w:tcW w:w="1524" w:type="dxa"/>
          </w:tcPr>
          <w:p w:rsidR="00B03790" w:rsidRPr="003713ED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181015" w:rsidRPr="003713ED">
              <w:rPr>
                <w:rFonts w:ascii="Times New Roman" w:hAnsi="Times New Roman" w:cs="Times New Roman"/>
                <w:sz w:val="28"/>
                <w:szCs w:val="28"/>
              </w:rPr>
              <w:t>уменьшен.</w:t>
            </w:r>
          </w:p>
          <w:p w:rsidR="00B03790" w:rsidRPr="003713ED" w:rsidRDefault="00D9118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3790" w:rsidRPr="003713ED">
              <w:rPr>
                <w:rFonts w:ascii="Times New Roman" w:hAnsi="Times New Roman" w:cs="Times New Roman"/>
                <w:sz w:val="28"/>
                <w:szCs w:val="28"/>
              </w:rPr>
              <w:t>величен.</w:t>
            </w:r>
          </w:p>
        </w:tc>
      </w:tr>
      <w:tr w:rsidR="00F851F9" w:rsidRPr="0055529F" w:rsidTr="00181015">
        <w:tc>
          <w:tcPr>
            <w:tcW w:w="534" w:type="dxa"/>
          </w:tcPr>
          <w:p w:rsidR="00F851F9" w:rsidRPr="00E14F5D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1F9" w:rsidRPr="00E14F5D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842" w:type="dxa"/>
          </w:tcPr>
          <w:p w:rsidR="00F851F9" w:rsidRPr="00E14F5D" w:rsidRDefault="00E14F5D" w:rsidP="006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124 (5,6</w:t>
            </w:r>
            <w:r w:rsidR="00F851F9" w:rsidRPr="00E14F5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F851F9" w:rsidRPr="003713ED" w:rsidRDefault="001C7E9A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</w:tcPr>
          <w:p w:rsidR="00F851F9" w:rsidRPr="003713ED" w:rsidRDefault="001C7E9A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7C32" w:rsidRPr="00371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F851F9" w:rsidRPr="003713ED" w:rsidRDefault="003713ED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820C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517C32" w:rsidRPr="00371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51F9" w:rsidRPr="005A37A7" w:rsidTr="00181015">
        <w:tc>
          <w:tcPr>
            <w:tcW w:w="534" w:type="dxa"/>
          </w:tcPr>
          <w:p w:rsidR="00F851F9" w:rsidRPr="00E14F5D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1F9" w:rsidRPr="00E14F5D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</w:p>
        </w:tc>
        <w:tc>
          <w:tcPr>
            <w:tcW w:w="1842" w:type="dxa"/>
          </w:tcPr>
          <w:p w:rsidR="00F851F9" w:rsidRPr="00E14F5D" w:rsidRDefault="00E14F5D" w:rsidP="006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43 (2</w:t>
            </w:r>
            <w:r w:rsidR="00F851F9" w:rsidRPr="00E14F5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F851F9" w:rsidRPr="003713ED" w:rsidRDefault="003713ED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0C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F851F9" w:rsidRPr="003713ED" w:rsidRDefault="00C820C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517C32" w:rsidRPr="00371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F851F9" w:rsidRPr="003713ED" w:rsidRDefault="005B72B9" w:rsidP="0037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+5,4</w:t>
            </w:r>
            <w:r w:rsidR="00517C32" w:rsidRPr="00371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8339D" w:rsidRDefault="0028339D" w:rsidP="00985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015" w:rsidRDefault="007517EA" w:rsidP="00985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D1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1C254B">
        <w:rPr>
          <w:rFonts w:ascii="Times New Roman" w:hAnsi="Times New Roman" w:cs="Times New Roman"/>
          <w:sz w:val="28"/>
          <w:szCs w:val="28"/>
        </w:rPr>
        <w:t>2015</w:t>
      </w:r>
      <w:r w:rsidR="00B1338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73822">
        <w:rPr>
          <w:rFonts w:ascii="Times New Roman" w:hAnsi="Times New Roman" w:cs="Times New Roman"/>
          <w:sz w:val="28"/>
          <w:szCs w:val="28"/>
        </w:rPr>
        <w:t>количество</w:t>
      </w:r>
      <w:r w:rsidR="00B1338C">
        <w:rPr>
          <w:rFonts w:ascii="Times New Roman" w:hAnsi="Times New Roman" w:cs="Times New Roman"/>
          <w:sz w:val="28"/>
          <w:szCs w:val="28"/>
        </w:rPr>
        <w:t xml:space="preserve"> обращений, рассмотренных с выездом</w:t>
      </w:r>
      <w:r w:rsidR="008E4C55">
        <w:rPr>
          <w:rFonts w:ascii="Times New Roman" w:hAnsi="Times New Roman" w:cs="Times New Roman"/>
          <w:sz w:val="28"/>
          <w:szCs w:val="28"/>
        </w:rPr>
        <w:t xml:space="preserve"> на место и комиссионно</w:t>
      </w:r>
      <w:r w:rsidR="00861E30">
        <w:rPr>
          <w:rFonts w:ascii="Times New Roman" w:hAnsi="Times New Roman" w:cs="Times New Roman"/>
          <w:sz w:val="28"/>
          <w:szCs w:val="28"/>
        </w:rPr>
        <w:t>,</w:t>
      </w:r>
      <w:r w:rsidRPr="004911D1">
        <w:rPr>
          <w:rFonts w:ascii="Times New Roman" w:hAnsi="Times New Roman" w:cs="Times New Roman"/>
          <w:sz w:val="28"/>
          <w:szCs w:val="28"/>
        </w:rPr>
        <w:t xml:space="preserve"> </w:t>
      </w:r>
      <w:r w:rsidR="00773822">
        <w:rPr>
          <w:rFonts w:ascii="Times New Roman" w:hAnsi="Times New Roman" w:cs="Times New Roman"/>
          <w:sz w:val="28"/>
          <w:szCs w:val="28"/>
        </w:rPr>
        <w:t>увеличилось</w:t>
      </w:r>
      <w:r w:rsidR="005C7A63" w:rsidRPr="004911D1">
        <w:rPr>
          <w:rFonts w:ascii="Times New Roman" w:hAnsi="Times New Roman" w:cs="Times New Roman"/>
          <w:sz w:val="28"/>
          <w:szCs w:val="28"/>
        </w:rPr>
        <w:t>.</w:t>
      </w:r>
    </w:p>
    <w:p w:rsidR="0028339D" w:rsidRPr="004911D1" w:rsidRDefault="00095FFF" w:rsidP="00985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3143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6D70" w:rsidRDefault="00216D70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9D" w:rsidRDefault="0028339D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9D" w:rsidRDefault="0028339D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F93" w:rsidRDefault="00EC4B0C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7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работы с обращениями граждан оценивается </w:t>
      </w:r>
      <w:r w:rsidR="00BE4A74" w:rsidRPr="00591B7A">
        <w:rPr>
          <w:rFonts w:ascii="Times New Roman" w:hAnsi="Times New Roman" w:cs="Times New Roman"/>
          <w:sz w:val="28"/>
          <w:szCs w:val="28"/>
        </w:rPr>
        <w:t>резу</w:t>
      </w:r>
      <w:r w:rsidR="00CD602A" w:rsidRPr="00591B7A">
        <w:rPr>
          <w:rFonts w:ascii="Times New Roman" w:hAnsi="Times New Roman" w:cs="Times New Roman"/>
          <w:sz w:val="28"/>
          <w:szCs w:val="28"/>
        </w:rPr>
        <w:t>льтатами рассмотрения обращений.</w:t>
      </w:r>
      <w:r w:rsidR="001A5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70" w:rsidRPr="00591B7A" w:rsidRDefault="00216D70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3543"/>
        <w:gridCol w:w="1843"/>
        <w:gridCol w:w="1418"/>
        <w:gridCol w:w="1559"/>
        <w:gridCol w:w="1524"/>
      </w:tblGrid>
      <w:tr w:rsidR="00CD602A" w:rsidRPr="005A37A7" w:rsidTr="00463870">
        <w:trPr>
          <w:trHeight w:val="345"/>
        </w:trPr>
        <w:tc>
          <w:tcPr>
            <w:tcW w:w="534" w:type="dxa"/>
            <w:vMerge w:val="restart"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CD602A" w:rsidRPr="005A37A7" w:rsidTr="00463870">
        <w:trPr>
          <w:trHeight w:val="285"/>
        </w:trPr>
        <w:tc>
          <w:tcPr>
            <w:tcW w:w="534" w:type="dxa"/>
            <w:vMerge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D602A" w:rsidRPr="00186DF9" w:rsidRDefault="003F1C8B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2A" w:rsidRPr="00186DF9" w:rsidRDefault="003F1C8B" w:rsidP="00B8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% от общего кол-ва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% уменьш.,</w:t>
            </w:r>
          </w:p>
          <w:p w:rsidR="00CD602A" w:rsidRPr="00186DF9" w:rsidRDefault="00C11F9E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величен.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843" w:type="dxa"/>
          </w:tcPr>
          <w:p w:rsidR="00ED08B3" w:rsidRPr="005A37A7" w:rsidRDefault="0055529F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 (71</w:t>
            </w:r>
            <w:r w:rsidR="00ED08B3" w:rsidRPr="00186D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08B3" w:rsidRPr="00E03CF0" w:rsidRDefault="00AF466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29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08B3" w:rsidRPr="00C809ED" w:rsidRDefault="001C254B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  <w:r w:rsidR="00AF4661" w:rsidRPr="00C809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D08B3" w:rsidRPr="0008195E" w:rsidRDefault="001C254B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  <w:r w:rsidR="00700080" w:rsidRPr="000819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843" w:type="dxa"/>
          </w:tcPr>
          <w:p w:rsidR="00ED08B3" w:rsidRPr="005A37A7" w:rsidRDefault="0055529F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 (27,8</w:t>
            </w:r>
            <w:r w:rsidR="00ED08B3" w:rsidRPr="009302E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ED08B3" w:rsidRPr="00E03CF0" w:rsidRDefault="004949D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2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ED08B3" w:rsidRPr="00C809ED" w:rsidRDefault="001C254B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950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0080" w:rsidRPr="00C809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ED08B3" w:rsidRPr="0008195E" w:rsidRDefault="001C254B" w:rsidP="001C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+1,2</w:t>
            </w:r>
            <w:r w:rsidR="00700080" w:rsidRPr="000819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2B602B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D08B3" w:rsidRPr="002B602B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843" w:type="dxa"/>
          </w:tcPr>
          <w:p w:rsidR="00ED08B3" w:rsidRPr="002B602B" w:rsidRDefault="0055529F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(1,2</w:t>
            </w:r>
            <w:r w:rsidR="00ED08B3" w:rsidRPr="002B602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ED08B3" w:rsidRPr="002B602B" w:rsidRDefault="0055529F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D08B3" w:rsidRPr="002B602B" w:rsidRDefault="001C254B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AF4661" w:rsidRPr="002B60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ED08B3" w:rsidRPr="002B602B" w:rsidRDefault="001C254B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-0,9</w:t>
            </w:r>
            <w:r w:rsidR="00700080" w:rsidRPr="002B60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F21A1" w:rsidRPr="005A37A7" w:rsidRDefault="003F21A1" w:rsidP="0001555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C4B0C" w:rsidRPr="005F022F" w:rsidRDefault="00EC4B0C" w:rsidP="00E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2F">
        <w:rPr>
          <w:rFonts w:ascii="Times New Roman" w:hAnsi="Times New Roman" w:cs="Times New Roman"/>
          <w:b/>
          <w:sz w:val="28"/>
          <w:szCs w:val="28"/>
        </w:rPr>
        <w:t>Сравнительные результаты рассмотрения обращений граждан</w:t>
      </w:r>
    </w:p>
    <w:p w:rsidR="00EC4B0C" w:rsidRPr="008C24E0" w:rsidRDefault="009337D3" w:rsidP="00873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E0">
        <w:rPr>
          <w:rFonts w:ascii="Times New Roman" w:hAnsi="Times New Roman" w:cs="Times New Roman"/>
          <w:b/>
          <w:sz w:val="28"/>
          <w:szCs w:val="28"/>
        </w:rPr>
        <w:t>(</w:t>
      </w:r>
      <w:r w:rsidR="00216D70">
        <w:rPr>
          <w:rFonts w:ascii="Times New Roman" w:hAnsi="Times New Roman" w:cs="Times New Roman"/>
          <w:b/>
          <w:sz w:val="28"/>
          <w:szCs w:val="28"/>
        </w:rPr>
        <w:t>2015</w:t>
      </w:r>
      <w:r w:rsidR="005F022F" w:rsidRPr="008C24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6D70">
        <w:rPr>
          <w:rFonts w:ascii="Times New Roman" w:hAnsi="Times New Roman" w:cs="Times New Roman"/>
          <w:b/>
          <w:sz w:val="28"/>
          <w:szCs w:val="28"/>
        </w:rPr>
        <w:t xml:space="preserve"> –2016</w:t>
      </w:r>
      <w:r w:rsidR="005F022F" w:rsidRPr="008C24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27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527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5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47" w:rsidRPr="005F022F">
        <w:rPr>
          <w:rFonts w:ascii="Times New Roman" w:hAnsi="Times New Roman" w:cs="Times New Roman"/>
          <w:b/>
          <w:sz w:val="28"/>
          <w:szCs w:val="28"/>
        </w:rPr>
        <w:t>%</w:t>
      </w:r>
      <w:r w:rsidR="00233A88" w:rsidRPr="008C24E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C4B0C" w:rsidRPr="008C24E0" w:rsidRDefault="00CC25B3" w:rsidP="00E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81600" cy="3124200"/>
            <wp:effectExtent l="19050" t="0" r="19050" b="0"/>
            <wp:docPr id="1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0A4F" w:rsidRPr="008C24E0" w:rsidRDefault="00B30A4F" w:rsidP="004C2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7CB" w:rsidRPr="007326EA" w:rsidRDefault="003B7BAE" w:rsidP="004574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Показателем </w:t>
      </w:r>
      <w:r w:rsidR="006713C3"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  <w:r w:rsidR="00C57AAD"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Волгодонска </w:t>
      </w:r>
      <w:r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эффективность работы с обращениями граждан непосредственно в органах и структурных подразделениях Администрации города Волгодонска</w:t>
      </w:r>
      <w:r w:rsidR="004A47CB"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FA6" w:rsidRDefault="00171FA6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EA" w:rsidRP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A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обращений граждан, </w:t>
      </w:r>
    </w:p>
    <w:p w:rsidR="007326EA" w:rsidRP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6EA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7326EA">
        <w:rPr>
          <w:rFonts w:ascii="Times New Roman" w:hAnsi="Times New Roman" w:cs="Times New Roman"/>
          <w:b/>
          <w:sz w:val="28"/>
          <w:szCs w:val="28"/>
        </w:rPr>
        <w:t xml:space="preserve"> в структурные подразделения и </w:t>
      </w:r>
    </w:p>
    <w:p w:rsid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A">
        <w:rPr>
          <w:rFonts w:ascii="Times New Roman" w:hAnsi="Times New Roman" w:cs="Times New Roman"/>
          <w:b/>
          <w:sz w:val="28"/>
          <w:szCs w:val="28"/>
        </w:rPr>
        <w:t xml:space="preserve">органы Администрации города </w:t>
      </w:r>
      <w:r w:rsidR="00AF0705">
        <w:rPr>
          <w:rFonts w:ascii="Times New Roman" w:hAnsi="Times New Roman" w:cs="Times New Roman"/>
          <w:b/>
          <w:sz w:val="28"/>
          <w:szCs w:val="28"/>
        </w:rPr>
        <w:t>в 2016</w:t>
      </w:r>
      <w:r w:rsidR="00E117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1FA6" w:rsidRPr="007326EA" w:rsidRDefault="00171FA6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146"/>
        <w:gridCol w:w="1458"/>
        <w:gridCol w:w="1682"/>
        <w:gridCol w:w="852"/>
      </w:tblGrid>
      <w:tr w:rsidR="007326EA" w:rsidRPr="007326EA" w:rsidTr="002663DB">
        <w:trPr>
          <w:trHeight w:val="435"/>
        </w:trPr>
        <w:tc>
          <w:tcPr>
            <w:tcW w:w="751" w:type="dxa"/>
            <w:vMerge w:val="restart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Merge w:val="restart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подразделений 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и органов Администрации города</w:t>
            </w:r>
          </w:p>
        </w:tc>
        <w:tc>
          <w:tcPr>
            <w:tcW w:w="3992" w:type="dxa"/>
            <w:gridSpan w:val="3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7326EA" w:rsidRPr="007326EA" w:rsidTr="002663DB">
        <w:trPr>
          <w:trHeight w:val="195"/>
        </w:trPr>
        <w:tc>
          <w:tcPr>
            <w:tcW w:w="751" w:type="dxa"/>
            <w:vMerge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vMerge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1682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852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326EA" w:rsidRPr="00E8755A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6" w:type="dxa"/>
          </w:tcPr>
          <w:p w:rsidR="007326EA" w:rsidRPr="00714F37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19EB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товаров, услуг и защиты прав потребителей</w:t>
            </w:r>
          </w:p>
        </w:tc>
        <w:tc>
          <w:tcPr>
            <w:tcW w:w="1458" w:type="dxa"/>
          </w:tcPr>
          <w:p w:rsidR="007326EA" w:rsidRPr="00714F37" w:rsidRDefault="00E8755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75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2" w:type="dxa"/>
          </w:tcPr>
          <w:p w:rsidR="007326EA" w:rsidRPr="00714F37" w:rsidRDefault="002C137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2" w:type="dxa"/>
          </w:tcPr>
          <w:p w:rsidR="007326EA" w:rsidRPr="00E8755A" w:rsidRDefault="00634AC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326EA" w:rsidRPr="007326EA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6" w:type="dxa"/>
          </w:tcPr>
          <w:p w:rsidR="007326EA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инспекции</w:t>
            </w:r>
          </w:p>
        </w:tc>
        <w:tc>
          <w:tcPr>
            <w:tcW w:w="1458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</w:tcPr>
          <w:p w:rsidR="007326EA" w:rsidRPr="007326EA" w:rsidRDefault="00714F3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2" w:type="dxa"/>
          </w:tcPr>
          <w:p w:rsidR="007326EA" w:rsidRPr="007326EA" w:rsidRDefault="00714F3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326EA" w:rsidRPr="004E7308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6" w:type="dxa"/>
          </w:tcPr>
          <w:p w:rsidR="007326EA" w:rsidRPr="007326EA" w:rsidRDefault="004E7308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08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7326EA" w:rsidRPr="004E7308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труда, уровню жизни и </w:t>
            </w:r>
            <w:r w:rsidR="007326EA" w:rsidRPr="004E7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трудовым отношениям</w:t>
            </w:r>
          </w:p>
        </w:tc>
        <w:tc>
          <w:tcPr>
            <w:tcW w:w="1458" w:type="dxa"/>
          </w:tcPr>
          <w:p w:rsidR="007326EA" w:rsidRPr="00714F37" w:rsidRDefault="004E7308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7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682" w:type="dxa"/>
          </w:tcPr>
          <w:p w:rsidR="007326EA" w:rsidRPr="00714F37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7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7326EA" w:rsidRPr="004E7308" w:rsidRDefault="004E7308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326EA" w:rsidRPr="007326EA" w:rsidTr="00171FA6">
        <w:trPr>
          <w:trHeight w:val="795"/>
        </w:trPr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46" w:type="dxa"/>
          </w:tcPr>
          <w:p w:rsidR="00171FA6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координации отраслей социальной сферы</w:t>
            </w:r>
          </w:p>
        </w:tc>
        <w:tc>
          <w:tcPr>
            <w:tcW w:w="1458" w:type="dxa"/>
          </w:tcPr>
          <w:p w:rsidR="007326EA" w:rsidRPr="007326EA" w:rsidRDefault="00714F3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2" w:type="dxa"/>
          </w:tcPr>
          <w:p w:rsidR="007326EA" w:rsidRPr="007326EA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7326EA" w:rsidRPr="007326EA" w:rsidRDefault="00714F3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71FA6" w:rsidRPr="007326EA" w:rsidTr="002663DB">
        <w:trPr>
          <w:trHeight w:val="315"/>
        </w:trPr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координации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  <w:tc>
          <w:tcPr>
            <w:tcW w:w="1458" w:type="dxa"/>
          </w:tcPr>
          <w:p w:rsidR="00171FA6" w:rsidRDefault="00714F3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2" w:type="dxa"/>
          </w:tcPr>
          <w:p w:rsidR="00171FA6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714F3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6" w:type="dxa"/>
          </w:tcPr>
          <w:p w:rsidR="00171FA6" w:rsidRPr="00115B8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8A">
              <w:rPr>
                <w:rFonts w:ascii="Times New Roman" w:hAnsi="Times New Roman" w:cs="Times New Roman"/>
                <w:sz w:val="28"/>
                <w:szCs w:val="28"/>
              </w:rPr>
              <w:t>Отдел охраны окружающей среды и природных ресурсов</w:t>
            </w:r>
          </w:p>
        </w:tc>
        <w:tc>
          <w:tcPr>
            <w:tcW w:w="1458" w:type="dxa"/>
          </w:tcPr>
          <w:p w:rsidR="00171FA6" w:rsidRPr="00115B8A" w:rsidRDefault="00115B8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171FA6" w:rsidRPr="00115B8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115B8A" w:rsidRDefault="00115B8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6" w:type="dxa"/>
          </w:tcPr>
          <w:p w:rsidR="00171FA6" w:rsidRPr="00BA18B3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B3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58" w:type="dxa"/>
          </w:tcPr>
          <w:p w:rsidR="00171FA6" w:rsidRPr="00BA18B3" w:rsidRDefault="00BA18B3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</w:tcPr>
          <w:p w:rsidR="00171FA6" w:rsidRPr="00BA18B3" w:rsidRDefault="00BA18B3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171FA6" w:rsidRPr="00BA18B3" w:rsidRDefault="00BA18B3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</w:t>
            </w:r>
          </w:p>
        </w:tc>
        <w:tc>
          <w:tcPr>
            <w:tcW w:w="1458" w:type="dxa"/>
          </w:tcPr>
          <w:p w:rsidR="00171FA6" w:rsidRPr="007326EA" w:rsidRDefault="00714F3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714F3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Комитет по градостроительству и архитектуре</w:t>
            </w:r>
          </w:p>
        </w:tc>
        <w:tc>
          <w:tcPr>
            <w:tcW w:w="1458" w:type="dxa"/>
          </w:tcPr>
          <w:p w:rsidR="00171FA6" w:rsidRPr="007326EA" w:rsidRDefault="00D4655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2" w:type="dxa"/>
          </w:tcPr>
          <w:p w:rsidR="00171FA6" w:rsidRPr="007326EA" w:rsidRDefault="00D4655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</w:tcPr>
          <w:p w:rsidR="00171FA6" w:rsidRPr="00984CF6" w:rsidRDefault="00D4655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6" w:type="dxa"/>
          </w:tcPr>
          <w:p w:rsidR="00171FA6" w:rsidRPr="0023122B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B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458" w:type="dxa"/>
          </w:tcPr>
          <w:p w:rsidR="00171FA6" w:rsidRPr="0023122B" w:rsidRDefault="0023122B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2" w:type="dxa"/>
          </w:tcPr>
          <w:p w:rsidR="00171FA6" w:rsidRPr="0023122B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23122B" w:rsidRDefault="0023122B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1F7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 Волгодонска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г. Волгодонска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852" w:type="dxa"/>
          </w:tcPr>
          <w:p w:rsidR="00B941F7" w:rsidRPr="00171FA6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 Администрации города Волгодонска</w:t>
            </w:r>
            <w:proofErr w:type="gramEnd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культуры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1F7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1F7" w:rsidRPr="007326EA" w:rsidTr="002663DB">
        <w:tc>
          <w:tcPr>
            <w:tcW w:w="751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B941F7" w:rsidRPr="007326EA" w:rsidRDefault="00B941F7" w:rsidP="003C6CF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8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68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13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2" w:type="dxa"/>
          </w:tcPr>
          <w:p w:rsidR="00B941F7" w:rsidRPr="007326EA" w:rsidRDefault="00B941F7" w:rsidP="003C6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13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7326EA" w:rsidRP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B941F7" w:rsidRDefault="007326EA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D9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6F51" w:rsidRPr="00B941F7">
        <w:rPr>
          <w:rFonts w:ascii="Times New Roman" w:hAnsi="Times New Roman" w:cs="Times New Roman"/>
          <w:b/>
          <w:i/>
          <w:sz w:val="28"/>
          <w:szCs w:val="28"/>
        </w:rPr>
        <w:t>В 2016</w:t>
      </w:r>
      <w:r w:rsidR="00BB75C6" w:rsidRPr="00B941F7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="00844127" w:rsidRPr="00B941F7">
        <w:rPr>
          <w:rFonts w:ascii="Times New Roman" w:hAnsi="Times New Roman" w:cs="Times New Roman"/>
          <w:b/>
          <w:i/>
          <w:sz w:val="28"/>
          <w:szCs w:val="28"/>
        </w:rPr>
        <w:t xml:space="preserve"> в органах</w:t>
      </w:r>
      <w:r w:rsidRPr="00B941F7">
        <w:rPr>
          <w:rFonts w:ascii="Times New Roman" w:hAnsi="Times New Roman" w:cs="Times New Roman"/>
          <w:b/>
          <w:i/>
          <w:sz w:val="28"/>
          <w:szCs w:val="28"/>
        </w:rPr>
        <w:t xml:space="preserve"> и структурных подразделениях Администрации города В</w:t>
      </w:r>
      <w:r w:rsidR="002C137F">
        <w:rPr>
          <w:rFonts w:ascii="Times New Roman" w:hAnsi="Times New Roman" w:cs="Times New Roman"/>
          <w:b/>
          <w:i/>
          <w:sz w:val="28"/>
          <w:szCs w:val="28"/>
        </w:rPr>
        <w:t>олгодонска зарегистрировано 1351 обращение</w:t>
      </w:r>
      <w:r w:rsidRPr="00B941F7">
        <w:rPr>
          <w:rFonts w:ascii="Times New Roman" w:hAnsi="Times New Roman" w:cs="Times New Roman"/>
          <w:b/>
          <w:i/>
          <w:sz w:val="28"/>
          <w:szCs w:val="28"/>
        </w:rPr>
        <w:t xml:space="preserve"> граждан, из них исполнено в </w:t>
      </w:r>
      <w:r w:rsidR="00B941F7">
        <w:rPr>
          <w:rFonts w:ascii="Times New Roman" w:hAnsi="Times New Roman" w:cs="Times New Roman"/>
          <w:b/>
          <w:i/>
          <w:sz w:val="28"/>
          <w:szCs w:val="28"/>
        </w:rPr>
        <w:t>установленный</w:t>
      </w:r>
      <w:r w:rsidR="00137418">
        <w:rPr>
          <w:rFonts w:ascii="Times New Roman" w:hAnsi="Times New Roman" w:cs="Times New Roman"/>
          <w:b/>
          <w:i/>
          <w:sz w:val="28"/>
          <w:szCs w:val="28"/>
        </w:rPr>
        <w:t xml:space="preserve"> законом срок – 1332</w:t>
      </w:r>
      <w:r w:rsidRPr="00B941F7">
        <w:rPr>
          <w:rFonts w:ascii="Times New Roman" w:hAnsi="Times New Roman" w:cs="Times New Roman"/>
          <w:b/>
          <w:i/>
          <w:sz w:val="28"/>
          <w:szCs w:val="28"/>
        </w:rPr>
        <w:t xml:space="preserve"> (нарушения сроков нет).</w:t>
      </w:r>
    </w:p>
    <w:p w:rsidR="007326EA" w:rsidRPr="00B941F7" w:rsidRDefault="007326EA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1F7">
        <w:rPr>
          <w:rFonts w:ascii="Times New Roman" w:hAnsi="Times New Roman" w:cs="Times New Roman"/>
          <w:b/>
          <w:i/>
          <w:sz w:val="28"/>
          <w:szCs w:val="28"/>
        </w:rPr>
        <w:tab/>
        <w:t>Результаты рассмотрения:</w:t>
      </w:r>
    </w:p>
    <w:p w:rsidR="007326EA" w:rsidRPr="00B941F7" w:rsidRDefault="00137418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поддержано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  435</w:t>
      </w:r>
      <w:r w:rsidR="00B941F7">
        <w:rPr>
          <w:rFonts w:ascii="Times New Roman" w:hAnsi="Times New Roman" w:cs="Times New Roman"/>
          <w:b/>
          <w:i/>
          <w:sz w:val="28"/>
          <w:szCs w:val="28"/>
        </w:rPr>
        <w:t xml:space="preserve"> (32</w:t>
      </w:r>
      <w:r w:rsidR="009B695F" w:rsidRPr="00B941F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36DD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326EA" w:rsidRPr="00B941F7">
        <w:rPr>
          <w:rFonts w:ascii="Times New Roman" w:hAnsi="Times New Roman" w:cs="Times New Roman"/>
          <w:b/>
          <w:i/>
          <w:sz w:val="28"/>
          <w:szCs w:val="28"/>
        </w:rPr>
        <w:t>%);</w:t>
      </w:r>
      <w:r w:rsidR="007326EA" w:rsidRPr="00B941F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326EA" w:rsidRPr="00B941F7" w:rsidRDefault="005E2495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1F7">
        <w:rPr>
          <w:rFonts w:ascii="Times New Roman" w:hAnsi="Times New Roman" w:cs="Times New Roman"/>
          <w:b/>
          <w:i/>
          <w:sz w:val="28"/>
          <w:szCs w:val="28"/>
        </w:rPr>
        <w:tab/>
        <w:t>- разъяснено</w:t>
      </w:r>
      <w:r w:rsidR="0013741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741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741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7418">
        <w:rPr>
          <w:rFonts w:ascii="Times New Roman" w:hAnsi="Times New Roman" w:cs="Times New Roman"/>
          <w:b/>
          <w:i/>
          <w:sz w:val="28"/>
          <w:szCs w:val="28"/>
        </w:rPr>
        <w:tab/>
        <w:t>-  859</w:t>
      </w:r>
      <w:r w:rsidR="00331FD3">
        <w:rPr>
          <w:rFonts w:ascii="Times New Roman" w:hAnsi="Times New Roman" w:cs="Times New Roman"/>
          <w:b/>
          <w:i/>
          <w:sz w:val="28"/>
          <w:szCs w:val="28"/>
        </w:rPr>
        <w:t xml:space="preserve"> (64,5</w:t>
      </w:r>
      <w:r w:rsidR="007326EA" w:rsidRPr="00B941F7">
        <w:rPr>
          <w:rFonts w:ascii="Times New Roman" w:hAnsi="Times New Roman" w:cs="Times New Roman"/>
          <w:b/>
          <w:i/>
          <w:sz w:val="28"/>
          <w:szCs w:val="28"/>
        </w:rPr>
        <w:t>%);</w:t>
      </w:r>
    </w:p>
    <w:p w:rsidR="007326EA" w:rsidRPr="006F4D9F" w:rsidRDefault="00D36DD1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не поддержано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 </w:t>
      </w:r>
      <w:r w:rsidR="00B941F7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7326EA" w:rsidRPr="00B941F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941F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2133A" w:rsidRPr="00B941F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941F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326EA" w:rsidRPr="00B941F7">
        <w:rPr>
          <w:rFonts w:ascii="Times New Roman" w:hAnsi="Times New Roman" w:cs="Times New Roman"/>
          <w:b/>
          <w:i/>
          <w:sz w:val="28"/>
          <w:szCs w:val="28"/>
        </w:rPr>
        <w:t>%).</w:t>
      </w:r>
    </w:p>
    <w:p w:rsid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F7" w:rsidRPr="007326EA" w:rsidRDefault="00B941F7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7326EA" w:rsidRDefault="00CC25B3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26EA" w:rsidRPr="007326EA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Н.В.Чуприна</w:t>
      </w:r>
    </w:p>
    <w:p w:rsidR="00941475" w:rsidRPr="007326EA" w:rsidRDefault="006713C3" w:rsidP="007326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6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941475" w:rsidRPr="007326EA" w:rsidSect="00315CC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A8" w:rsidRDefault="004D55A8" w:rsidP="001010B9">
      <w:pPr>
        <w:spacing w:after="0" w:line="240" w:lineRule="auto"/>
      </w:pPr>
      <w:r>
        <w:separator/>
      </w:r>
    </w:p>
  </w:endnote>
  <w:endnote w:type="continuationSeparator" w:id="0">
    <w:p w:rsidR="004D55A8" w:rsidRDefault="004D55A8" w:rsidP="001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A8" w:rsidRDefault="004D55A8" w:rsidP="001010B9">
      <w:pPr>
        <w:spacing w:after="0" w:line="240" w:lineRule="auto"/>
      </w:pPr>
      <w:r>
        <w:separator/>
      </w:r>
    </w:p>
  </w:footnote>
  <w:footnote w:type="continuationSeparator" w:id="0">
    <w:p w:rsidR="004D55A8" w:rsidRDefault="004D55A8" w:rsidP="0010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8B3"/>
    <w:multiLevelType w:val="multilevel"/>
    <w:tmpl w:val="A6CED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5C"/>
    <w:multiLevelType w:val="multilevel"/>
    <w:tmpl w:val="C6FA1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D000F"/>
    <w:multiLevelType w:val="multilevel"/>
    <w:tmpl w:val="E2162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5B52"/>
    <w:multiLevelType w:val="hybridMultilevel"/>
    <w:tmpl w:val="03BA4476"/>
    <w:lvl w:ilvl="0" w:tplc="003E980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F0A1B3C"/>
    <w:multiLevelType w:val="multilevel"/>
    <w:tmpl w:val="149C2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25588"/>
    <w:multiLevelType w:val="multilevel"/>
    <w:tmpl w:val="2400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C79FC"/>
    <w:multiLevelType w:val="multilevel"/>
    <w:tmpl w:val="1B4EE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D44D5"/>
    <w:multiLevelType w:val="multilevel"/>
    <w:tmpl w:val="25245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51CC5"/>
    <w:multiLevelType w:val="multilevel"/>
    <w:tmpl w:val="AB8A6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35CB1"/>
    <w:multiLevelType w:val="multilevel"/>
    <w:tmpl w:val="7ED2C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C6995"/>
    <w:multiLevelType w:val="multilevel"/>
    <w:tmpl w:val="9CA01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F723D"/>
    <w:multiLevelType w:val="multilevel"/>
    <w:tmpl w:val="DF1AA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8149D"/>
    <w:multiLevelType w:val="multilevel"/>
    <w:tmpl w:val="085AA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2FD"/>
    <w:rsid w:val="00002AEB"/>
    <w:rsid w:val="00004502"/>
    <w:rsid w:val="00015555"/>
    <w:rsid w:val="00022491"/>
    <w:rsid w:val="00025C2F"/>
    <w:rsid w:val="0002726C"/>
    <w:rsid w:val="000355AD"/>
    <w:rsid w:val="0003611E"/>
    <w:rsid w:val="00042F9A"/>
    <w:rsid w:val="00043165"/>
    <w:rsid w:val="00047BB1"/>
    <w:rsid w:val="00050110"/>
    <w:rsid w:val="00054B1D"/>
    <w:rsid w:val="00064478"/>
    <w:rsid w:val="00064ECB"/>
    <w:rsid w:val="00067DE1"/>
    <w:rsid w:val="00070428"/>
    <w:rsid w:val="00073D7C"/>
    <w:rsid w:val="0008195E"/>
    <w:rsid w:val="00081B1D"/>
    <w:rsid w:val="00084249"/>
    <w:rsid w:val="0008661C"/>
    <w:rsid w:val="000868DC"/>
    <w:rsid w:val="00087415"/>
    <w:rsid w:val="00087F16"/>
    <w:rsid w:val="00095FFF"/>
    <w:rsid w:val="000974BA"/>
    <w:rsid w:val="000A02ED"/>
    <w:rsid w:val="000A2DAF"/>
    <w:rsid w:val="000B496C"/>
    <w:rsid w:val="000B6EAE"/>
    <w:rsid w:val="000C22E6"/>
    <w:rsid w:val="000C37B3"/>
    <w:rsid w:val="000C54CA"/>
    <w:rsid w:val="000C69B7"/>
    <w:rsid w:val="000D1777"/>
    <w:rsid w:val="000D2EC1"/>
    <w:rsid w:val="000E0FEB"/>
    <w:rsid w:val="000E39BE"/>
    <w:rsid w:val="000F5979"/>
    <w:rsid w:val="000F609F"/>
    <w:rsid w:val="000F6543"/>
    <w:rsid w:val="001010B9"/>
    <w:rsid w:val="00101D31"/>
    <w:rsid w:val="001073E1"/>
    <w:rsid w:val="00111E0F"/>
    <w:rsid w:val="00115477"/>
    <w:rsid w:val="00115B8A"/>
    <w:rsid w:val="00116C33"/>
    <w:rsid w:val="00125CA8"/>
    <w:rsid w:val="00133998"/>
    <w:rsid w:val="00135E5A"/>
    <w:rsid w:val="00137418"/>
    <w:rsid w:val="00154EB3"/>
    <w:rsid w:val="001558EF"/>
    <w:rsid w:val="00156275"/>
    <w:rsid w:val="00160AF6"/>
    <w:rsid w:val="00160E30"/>
    <w:rsid w:val="001657EA"/>
    <w:rsid w:val="0016670D"/>
    <w:rsid w:val="001670B8"/>
    <w:rsid w:val="001709E3"/>
    <w:rsid w:val="00171983"/>
    <w:rsid w:val="00171C46"/>
    <w:rsid w:val="00171FA6"/>
    <w:rsid w:val="00174922"/>
    <w:rsid w:val="00174D09"/>
    <w:rsid w:val="001768EB"/>
    <w:rsid w:val="00181015"/>
    <w:rsid w:val="0018331C"/>
    <w:rsid w:val="00184258"/>
    <w:rsid w:val="00186DF9"/>
    <w:rsid w:val="0019140D"/>
    <w:rsid w:val="00191CB1"/>
    <w:rsid w:val="00192D82"/>
    <w:rsid w:val="00193D0C"/>
    <w:rsid w:val="001A00FE"/>
    <w:rsid w:val="001A397F"/>
    <w:rsid w:val="001A4652"/>
    <w:rsid w:val="001A49B7"/>
    <w:rsid w:val="001A5291"/>
    <w:rsid w:val="001A6464"/>
    <w:rsid w:val="001B14D6"/>
    <w:rsid w:val="001B26FB"/>
    <w:rsid w:val="001B6810"/>
    <w:rsid w:val="001C254B"/>
    <w:rsid w:val="001C7E9A"/>
    <w:rsid w:val="001D03E1"/>
    <w:rsid w:val="001D2FDB"/>
    <w:rsid w:val="001D6733"/>
    <w:rsid w:val="001E0077"/>
    <w:rsid w:val="001E04A3"/>
    <w:rsid w:val="001E0B32"/>
    <w:rsid w:val="001F4587"/>
    <w:rsid w:val="00211513"/>
    <w:rsid w:val="00216D70"/>
    <w:rsid w:val="00217AA1"/>
    <w:rsid w:val="002211A2"/>
    <w:rsid w:val="00225A2D"/>
    <w:rsid w:val="002271A4"/>
    <w:rsid w:val="0023122B"/>
    <w:rsid w:val="00231B38"/>
    <w:rsid w:val="00233A88"/>
    <w:rsid w:val="002351A3"/>
    <w:rsid w:val="00241BAC"/>
    <w:rsid w:val="00242E9F"/>
    <w:rsid w:val="00247A6B"/>
    <w:rsid w:val="00250683"/>
    <w:rsid w:val="00254B43"/>
    <w:rsid w:val="00264653"/>
    <w:rsid w:val="00264F97"/>
    <w:rsid w:val="00265D29"/>
    <w:rsid w:val="00267B99"/>
    <w:rsid w:val="00267EBB"/>
    <w:rsid w:val="00267F84"/>
    <w:rsid w:val="00272AF7"/>
    <w:rsid w:val="00273933"/>
    <w:rsid w:val="0027483E"/>
    <w:rsid w:val="002759A5"/>
    <w:rsid w:val="0028339D"/>
    <w:rsid w:val="002839E4"/>
    <w:rsid w:val="00283DC1"/>
    <w:rsid w:val="002844BD"/>
    <w:rsid w:val="00286258"/>
    <w:rsid w:val="00287CE7"/>
    <w:rsid w:val="00287EAC"/>
    <w:rsid w:val="0029061B"/>
    <w:rsid w:val="002924D5"/>
    <w:rsid w:val="0029627D"/>
    <w:rsid w:val="002A1BF9"/>
    <w:rsid w:val="002A4688"/>
    <w:rsid w:val="002A4A0F"/>
    <w:rsid w:val="002A737A"/>
    <w:rsid w:val="002A792B"/>
    <w:rsid w:val="002B0CF8"/>
    <w:rsid w:val="002B524F"/>
    <w:rsid w:val="002B5637"/>
    <w:rsid w:val="002B5CD6"/>
    <w:rsid w:val="002B602B"/>
    <w:rsid w:val="002C137F"/>
    <w:rsid w:val="002C1B3B"/>
    <w:rsid w:val="002C4131"/>
    <w:rsid w:val="002D1628"/>
    <w:rsid w:val="002D3A7E"/>
    <w:rsid w:val="002D3D75"/>
    <w:rsid w:val="002D3E90"/>
    <w:rsid w:val="002E00E8"/>
    <w:rsid w:val="002E357E"/>
    <w:rsid w:val="002E64C9"/>
    <w:rsid w:val="002F1742"/>
    <w:rsid w:val="002F1D8F"/>
    <w:rsid w:val="002F22AF"/>
    <w:rsid w:val="0031417A"/>
    <w:rsid w:val="00315CC6"/>
    <w:rsid w:val="003166E4"/>
    <w:rsid w:val="00320A52"/>
    <w:rsid w:val="00321598"/>
    <w:rsid w:val="00321F20"/>
    <w:rsid w:val="003243A6"/>
    <w:rsid w:val="0032614F"/>
    <w:rsid w:val="00326F1E"/>
    <w:rsid w:val="00330AC2"/>
    <w:rsid w:val="00331FD3"/>
    <w:rsid w:val="00334B43"/>
    <w:rsid w:val="00334BB5"/>
    <w:rsid w:val="00336DF1"/>
    <w:rsid w:val="00340897"/>
    <w:rsid w:val="00351213"/>
    <w:rsid w:val="00353E84"/>
    <w:rsid w:val="00354833"/>
    <w:rsid w:val="00356C03"/>
    <w:rsid w:val="00364254"/>
    <w:rsid w:val="003676A7"/>
    <w:rsid w:val="003713ED"/>
    <w:rsid w:val="003727B6"/>
    <w:rsid w:val="003769B0"/>
    <w:rsid w:val="00376A7C"/>
    <w:rsid w:val="00380EDB"/>
    <w:rsid w:val="00381C13"/>
    <w:rsid w:val="00383C3C"/>
    <w:rsid w:val="00386316"/>
    <w:rsid w:val="003A1FFC"/>
    <w:rsid w:val="003B7BAE"/>
    <w:rsid w:val="003C1621"/>
    <w:rsid w:val="003C6CD8"/>
    <w:rsid w:val="003C6D5F"/>
    <w:rsid w:val="003D0152"/>
    <w:rsid w:val="003D04FE"/>
    <w:rsid w:val="003D3157"/>
    <w:rsid w:val="003D6550"/>
    <w:rsid w:val="003E0E05"/>
    <w:rsid w:val="003E4AD8"/>
    <w:rsid w:val="003E63B7"/>
    <w:rsid w:val="003E7BD1"/>
    <w:rsid w:val="003E7FF3"/>
    <w:rsid w:val="003F1C8B"/>
    <w:rsid w:val="003F21A1"/>
    <w:rsid w:val="003F3C81"/>
    <w:rsid w:val="00400CAC"/>
    <w:rsid w:val="00403C55"/>
    <w:rsid w:val="00410536"/>
    <w:rsid w:val="00416F90"/>
    <w:rsid w:val="004222B3"/>
    <w:rsid w:val="004231FA"/>
    <w:rsid w:val="00423A8B"/>
    <w:rsid w:val="00423AEA"/>
    <w:rsid w:val="004319E8"/>
    <w:rsid w:val="00440659"/>
    <w:rsid w:val="00441C15"/>
    <w:rsid w:val="00443F0C"/>
    <w:rsid w:val="0044444D"/>
    <w:rsid w:val="004475B8"/>
    <w:rsid w:val="00453CF0"/>
    <w:rsid w:val="00456082"/>
    <w:rsid w:val="00457450"/>
    <w:rsid w:val="0046005B"/>
    <w:rsid w:val="00461EA4"/>
    <w:rsid w:val="00465672"/>
    <w:rsid w:val="004752D2"/>
    <w:rsid w:val="00480D1B"/>
    <w:rsid w:val="00483A76"/>
    <w:rsid w:val="00485CD3"/>
    <w:rsid w:val="0048636A"/>
    <w:rsid w:val="0048706B"/>
    <w:rsid w:val="00487322"/>
    <w:rsid w:val="004911D1"/>
    <w:rsid w:val="00491EED"/>
    <w:rsid w:val="004920D0"/>
    <w:rsid w:val="004949D1"/>
    <w:rsid w:val="00494BA4"/>
    <w:rsid w:val="004A0EE2"/>
    <w:rsid w:val="004A3BC3"/>
    <w:rsid w:val="004A43AA"/>
    <w:rsid w:val="004A47CB"/>
    <w:rsid w:val="004B1DEA"/>
    <w:rsid w:val="004B34F8"/>
    <w:rsid w:val="004B3A48"/>
    <w:rsid w:val="004B4775"/>
    <w:rsid w:val="004B708D"/>
    <w:rsid w:val="004C24D0"/>
    <w:rsid w:val="004C3191"/>
    <w:rsid w:val="004C3D4E"/>
    <w:rsid w:val="004C6E21"/>
    <w:rsid w:val="004D1E85"/>
    <w:rsid w:val="004D24F4"/>
    <w:rsid w:val="004D55A8"/>
    <w:rsid w:val="004E3154"/>
    <w:rsid w:val="004E4081"/>
    <w:rsid w:val="004E5C18"/>
    <w:rsid w:val="004E7308"/>
    <w:rsid w:val="004F2479"/>
    <w:rsid w:val="005003FB"/>
    <w:rsid w:val="00501349"/>
    <w:rsid w:val="0050384E"/>
    <w:rsid w:val="0050435C"/>
    <w:rsid w:val="00506F36"/>
    <w:rsid w:val="00512E0F"/>
    <w:rsid w:val="00515C60"/>
    <w:rsid w:val="00516DED"/>
    <w:rsid w:val="00516E22"/>
    <w:rsid w:val="00517C32"/>
    <w:rsid w:val="0052039A"/>
    <w:rsid w:val="00520667"/>
    <w:rsid w:val="00526DE1"/>
    <w:rsid w:val="0052765A"/>
    <w:rsid w:val="00533534"/>
    <w:rsid w:val="00536897"/>
    <w:rsid w:val="00540BA5"/>
    <w:rsid w:val="0054325A"/>
    <w:rsid w:val="005453AA"/>
    <w:rsid w:val="005462A4"/>
    <w:rsid w:val="00550AAE"/>
    <w:rsid w:val="0055529F"/>
    <w:rsid w:val="00566D75"/>
    <w:rsid w:val="005677AB"/>
    <w:rsid w:val="00570676"/>
    <w:rsid w:val="00572377"/>
    <w:rsid w:val="00573006"/>
    <w:rsid w:val="00573AFE"/>
    <w:rsid w:val="00583D4C"/>
    <w:rsid w:val="005847F6"/>
    <w:rsid w:val="0058646D"/>
    <w:rsid w:val="00586B25"/>
    <w:rsid w:val="00591B7A"/>
    <w:rsid w:val="0059257F"/>
    <w:rsid w:val="005A0498"/>
    <w:rsid w:val="005A22C5"/>
    <w:rsid w:val="005A37A7"/>
    <w:rsid w:val="005A4423"/>
    <w:rsid w:val="005B4763"/>
    <w:rsid w:val="005B72B9"/>
    <w:rsid w:val="005B756D"/>
    <w:rsid w:val="005C11A0"/>
    <w:rsid w:val="005C123C"/>
    <w:rsid w:val="005C2947"/>
    <w:rsid w:val="005C2A69"/>
    <w:rsid w:val="005C74D6"/>
    <w:rsid w:val="005C7A63"/>
    <w:rsid w:val="005D49E0"/>
    <w:rsid w:val="005E2495"/>
    <w:rsid w:val="005E61F8"/>
    <w:rsid w:val="005F022F"/>
    <w:rsid w:val="005F06A6"/>
    <w:rsid w:val="005F7E3D"/>
    <w:rsid w:val="0060333C"/>
    <w:rsid w:val="006053D3"/>
    <w:rsid w:val="00607068"/>
    <w:rsid w:val="00611B18"/>
    <w:rsid w:val="0061370B"/>
    <w:rsid w:val="00614D8C"/>
    <w:rsid w:val="00616A1E"/>
    <w:rsid w:val="00617195"/>
    <w:rsid w:val="00620D4E"/>
    <w:rsid w:val="00634ACF"/>
    <w:rsid w:val="0063742A"/>
    <w:rsid w:val="00637564"/>
    <w:rsid w:val="006477AD"/>
    <w:rsid w:val="00650C0B"/>
    <w:rsid w:val="0065137A"/>
    <w:rsid w:val="006610DD"/>
    <w:rsid w:val="00663FBE"/>
    <w:rsid w:val="00670B7C"/>
    <w:rsid w:val="006713C3"/>
    <w:rsid w:val="00671474"/>
    <w:rsid w:val="006757C9"/>
    <w:rsid w:val="00677026"/>
    <w:rsid w:val="006845B6"/>
    <w:rsid w:val="00684C02"/>
    <w:rsid w:val="006870C0"/>
    <w:rsid w:val="006873CE"/>
    <w:rsid w:val="00690103"/>
    <w:rsid w:val="0069213D"/>
    <w:rsid w:val="00697229"/>
    <w:rsid w:val="00697990"/>
    <w:rsid w:val="006A25E1"/>
    <w:rsid w:val="006A6D6E"/>
    <w:rsid w:val="006B30EE"/>
    <w:rsid w:val="006B3F0A"/>
    <w:rsid w:val="006B4532"/>
    <w:rsid w:val="006B7AC9"/>
    <w:rsid w:val="006C0541"/>
    <w:rsid w:val="006C0547"/>
    <w:rsid w:val="006C44C1"/>
    <w:rsid w:val="006D1169"/>
    <w:rsid w:val="006D1909"/>
    <w:rsid w:val="006D3792"/>
    <w:rsid w:val="006D3CC0"/>
    <w:rsid w:val="006E109B"/>
    <w:rsid w:val="006E155D"/>
    <w:rsid w:val="006F1DF2"/>
    <w:rsid w:val="006F1FB7"/>
    <w:rsid w:val="006F3B3E"/>
    <w:rsid w:val="006F4D9F"/>
    <w:rsid w:val="006F60B3"/>
    <w:rsid w:val="00700080"/>
    <w:rsid w:val="007016DB"/>
    <w:rsid w:val="00701E4B"/>
    <w:rsid w:val="00703090"/>
    <w:rsid w:val="00705AB4"/>
    <w:rsid w:val="00706840"/>
    <w:rsid w:val="00706CC0"/>
    <w:rsid w:val="0071041C"/>
    <w:rsid w:val="00714F37"/>
    <w:rsid w:val="00716861"/>
    <w:rsid w:val="00721F17"/>
    <w:rsid w:val="00722A8F"/>
    <w:rsid w:val="00723340"/>
    <w:rsid w:val="00724C8A"/>
    <w:rsid w:val="007271D5"/>
    <w:rsid w:val="00731C48"/>
    <w:rsid w:val="007326EA"/>
    <w:rsid w:val="00733571"/>
    <w:rsid w:val="00741AD9"/>
    <w:rsid w:val="00741F04"/>
    <w:rsid w:val="007422C0"/>
    <w:rsid w:val="007465A9"/>
    <w:rsid w:val="00746F32"/>
    <w:rsid w:val="007517EA"/>
    <w:rsid w:val="0075280D"/>
    <w:rsid w:val="00754FC7"/>
    <w:rsid w:val="007614C7"/>
    <w:rsid w:val="00761875"/>
    <w:rsid w:val="0076757A"/>
    <w:rsid w:val="00773822"/>
    <w:rsid w:val="007819F4"/>
    <w:rsid w:val="00784D5A"/>
    <w:rsid w:val="0079159C"/>
    <w:rsid w:val="007975A9"/>
    <w:rsid w:val="007A123F"/>
    <w:rsid w:val="007A6811"/>
    <w:rsid w:val="007A7E25"/>
    <w:rsid w:val="007B0D5D"/>
    <w:rsid w:val="007B7F9A"/>
    <w:rsid w:val="007C293A"/>
    <w:rsid w:val="007C2B56"/>
    <w:rsid w:val="007C319E"/>
    <w:rsid w:val="007C5A48"/>
    <w:rsid w:val="007C6F51"/>
    <w:rsid w:val="007D3768"/>
    <w:rsid w:val="007E0A66"/>
    <w:rsid w:val="007E367E"/>
    <w:rsid w:val="007E7E70"/>
    <w:rsid w:val="0080690D"/>
    <w:rsid w:val="008075D7"/>
    <w:rsid w:val="0080787E"/>
    <w:rsid w:val="00811911"/>
    <w:rsid w:val="00823006"/>
    <w:rsid w:val="0082414A"/>
    <w:rsid w:val="00827100"/>
    <w:rsid w:val="00834972"/>
    <w:rsid w:val="00835858"/>
    <w:rsid w:val="00841E63"/>
    <w:rsid w:val="00844127"/>
    <w:rsid w:val="00845084"/>
    <w:rsid w:val="0084717B"/>
    <w:rsid w:val="00852747"/>
    <w:rsid w:val="00852AA6"/>
    <w:rsid w:val="00861C58"/>
    <w:rsid w:val="00861E30"/>
    <w:rsid w:val="008623C9"/>
    <w:rsid w:val="00866203"/>
    <w:rsid w:val="00867E5A"/>
    <w:rsid w:val="008739B5"/>
    <w:rsid w:val="00874CF1"/>
    <w:rsid w:val="008767DE"/>
    <w:rsid w:val="008816E3"/>
    <w:rsid w:val="008823B6"/>
    <w:rsid w:val="00886146"/>
    <w:rsid w:val="008A4B7C"/>
    <w:rsid w:val="008A501F"/>
    <w:rsid w:val="008A60D9"/>
    <w:rsid w:val="008B01CB"/>
    <w:rsid w:val="008B1875"/>
    <w:rsid w:val="008C1A4E"/>
    <w:rsid w:val="008C2235"/>
    <w:rsid w:val="008C24E0"/>
    <w:rsid w:val="008C356B"/>
    <w:rsid w:val="008D3698"/>
    <w:rsid w:val="008D38E2"/>
    <w:rsid w:val="008D72A6"/>
    <w:rsid w:val="008E060D"/>
    <w:rsid w:val="008E16F4"/>
    <w:rsid w:val="008E4C55"/>
    <w:rsid w:val="008F1F76"/>
    <w:rsid w:val="008F2EED"/>
    <w:rsid w:val="008F500B"/>
    <w:rsid w:val="008F553F"/>
    <w:rsid w:val="00900082"/>
    <w:rsid w:val="0090403B"/>
    <w:rsid w:val="009250F0"/>
    <w:rsid w:val="009302EA"/>
    <w:rsid w:val="00931779"/>
    <w:rsid w:val="009337D3"/>
    <w:rsid w:val="00934082"/>
    <w:rsid w:val="00935C8D"/>
    <w:rsid w:val="00937453"/>
    <w:rsid w:val="00941475"/>
    <w:rsid w:val="00942FAF"/>
    <w:rsid w:val="00956B08"/>
    <w:rsid w:val="00964367"/>
    <w:rsid w:val="00965300"/>
    <w:rsid w:val="00970D5B"/>
    <w:rsid w:val="009723C2"/>
    <w:rsid w:val="00982823"/>
    <w:rsid w:val="00984CF6"/>
    <w:rsid w:val="00985680"/>
    <w:rsid w:val="00985C9A"/>
    <w:rsid w:val="00985F73"/>
    <w:rsid w:val="0099030D"/>
    <w:rsid w:val="00996BDC"/>
    <w:rsid w:val="0099709D"/>
    <w:rsid w:val="009A090C"/>
    <w:rsid w:val="009A09B0"/>
    <w:rsid w:val="009A1283"/>
    <w:rsid w:val="009A54F7"/>
    <w:rsid w:val="009A5C0B"/>
    <w:rsid w:val="009A7D01"/>
    <w:rsid w:val="009B22B8"/>
    <w:rsid w:val="009B695F"/>
    <w:rsid w:val="009C4DE7"/>
    <w:rsid w:val="009C66D2"/>
    <w:rsid w:val="009D0AFA"/>
    <w:rsid w:val="009D7443"/>
    <w:rsid w:val="009E2A86"/>
    <w:rsid w:val="009E38FC"/>
    <w:rsid w:val="009E3B04"/>
    <w:rsid w:val="009F09BB"/>
    <w:rsid w:val="009F34B9"/>
    <w:rsid w:val="009F385C"/>
    <w:rsid w:val="00A0195D"/>
    <w:rsid w:val="00A04848"/>
    <w:rsid w:val="00A05FA0"/>
    <w:rsid w:val="00A06ECF"/>
    <w:rsid w:val="00A109AF"/>
    <w:rsid w:val="00A139E7"/>
    <w:rsid w:val="00A13A52"/>
    <w:rsid w:val="00A15FE0"/>
    <w:rsid w:val="00A205FE"/>
    <w:rsid w:val="00A24F47"/>
    <w:rsid w:val="00A3185F"/>
    <w:rsid w:val="00A331B2"/>
    <w:rsid w:val="00A45615"/>
    <w:rsid w:val="00A5001B"/>
    <w:rsid w:val="00A549C2"/>
    <w:rsid w:val="00A60E94"/>
    <w:rsid w:val="00A75F91"/>
    <w:rsid w:val="00A769DA"/>
    <w:rsid w:val="00A83E84"/>
    <w:rsid w:val="00A84135"/>
    <w:rsid w:val="00A866C0"/>
    <w:rsid w:val="00A903A9"/>
    <w:rsid w:val="00A92186"/>
    <w:rsid w:val="00A93B3C"/>
    <w:rsid w:val="00A95DF8"/>
    <w:rsid w:val="00A95EE0"/>
    <w:rsid w:val="00AA3085"/>
    <w:rsid w:val="00AA4B08"/>
    <w:rsid w:val="00AA5010"/>
    <w:rsid w:val="00AB7D4F"/>
    <w:rsid w:val="00AB7E8B"/>
    <w:rsid w:val="00AC4F93"/>
    <w:rsid w:val="00AC5968"/>
    <w:rsid w:val="00AC7AD9"/>
    <w:rsid w:val="00AD03AA"/>
    <w:rsid w:val="00AD334B"/>
    <w:rsid w:val="00AD356A"/>
    <w:rsid w:val="00AD5F50"/>
    <w:rsid w:val="00AD764D"/>
    <w:rsid w:val="00AE0BD3"/>
    <w:rsid w:val="00AE48E2"/>
    <w:rsid w:val="00AE6E84"/>
    <w:rsid w:val="00AF0705"/>
    <w:rsid w:val="00AF1747"/>
    <w:rsid w:val="00AF25B3"/>
    <w:rsid w:val="00AF3C59"/>
    <w:rsid w:val="00AF3DD4"/>
    <w:rsid w:val="00AF4661"/>
    <w:rsid w:val="00AF6A48"/>
    <w:rsid w:val="00AF79C9"/>
    <w:rsid w:val="00B01D32"/>
    <w:rsid w:val="00B03790"/>
    <w:rsid w:val="00B05232"/>
    <w:rsid w:val="00B05B39"/>
    <w:rsid w:val="00B05D12"/>
    <w:rsid w:val="00B102DF"/>
    <w:rsid w:val="00B11CA7"/>
    <w:rsid w:val="00B1338C"/>
    <w:rsid w:val="00B14B44"/>
    <w:rsid w:val="00B2133A"/>
    <w:rsid w:val="00B23459"/>
    <w:rsid w:val="00B25DC8"/>
    <w:rsid w:val="00B266FA"/>
    <w:rsid w:val="00B27FB0"/>
    <w:rsid w:val="00B30A4F"/>
    <w:rsid w:val="00B30DD9"/>
    <w:rsid w:val="00B30DDD"/>
    <w:rsid w:val="00B31AF8"/>
    <w:rsid w:val="00B4596C"/>
    <w:rsid w:val="00B47EBA"/>
    <w:rsid w:val="00B540F1"/>
    <w:rsid w:val="00B57E5F"/>
    <w:rsid w:val="00B6627D"/>
    <w:rsid w:val="00B678A8"/>
    <w:rsid w:val="00B72640"/>
    <w:rsid w:val="00B72DF2"/>
    <w:rsid w:val="00B74336"/>
    <w:rsid w:val="00B7514E"/>
    <w:rsid w:val="00B81559"/>
    <w:rsid w:val="00B82E17"/>
    <w:rsid w:val="00B834A4"/>
    <w:rsid w:val="00B85B79"/>
    <w:rsid w:val="00B86F86"/>
    <w:rsid w:val="00B9226D"/>
    <w:rsid w:val="00B93424"/>
    <w:rsid w:val="00B93C2D"/>
    <w:rsid w:val="00B941F7"/>
    <w:rsid w:val="00BA1754"/>
    <w:rsid w:val="00BA18B3"/>
    <w:rsid w:val="00BA5579"/>
    <w:rsid w:val="00BA5C66"/>
    <w:rsid w:val="00BA619D"/>
    <w:rsid w:val="00BB1621"/>
    <w:rsid w:val="00BB5214"/>
    <w:rsid w:val="00BB62B2"/>
    <w:rsid w:val="00BB67B3"/>
    <w:rsid w:val="00BB6E1F"/>
    <w:rsid w:val="00BB75C6"/>
    <w:rsid w:val="00BC1C17"/>
    <w:rsid w:val="00BC4A7C"/>
    <w:rsid w:val="00BC68AF"/>
    <w:rsid w:val="00BD00AA"/>
    <w:rsid w:val="00BD1037"/>
    <w:rsid w:val="00BD39F9"/>
    <w:rsid w:val="00BE4A74"/>
    <w:rsid w:val="00BE5CE1"/>
    <w:rsid w:val="00BE7BAA"/>
    <w:rsid w:val="00BE7EE6"/>
    <w:rsid w:val="00BF158F"/>
    <w:rsid w:val="00C03AAF"/>
    <w:rsid w:val="00C10C1F"/>
    <w:rsid w:val="00C11F9E"/>
    <w:rsid w:val="00C174C2"/>
    <w:rsid w:val="00C21D2A"/>
    <w:rsid w:val="00C23AD0"/>
    <w:rsid w:val="00C243CD"/>
    <w:rsid w:val="00C401AF"/>
    <w:rsid w:val="00C47B8D"/>
    <w:rsid w:val="00C52BC0"/>
    <w:rsid w:val="00C550DC"/>
    <w:rsid w:val="00C56B43"/>
    <w:rsid w:val="00C571A4"/>
    <w:rsid w:val="00C57709"/>
    <w:rsid w:val="00C57811"/>
    <w:rsid w:val="00C57AAD"/>
    <w:rsid w:val="00C60655"/>
    <w:rsid w:val="00C60ED2"/>
    <w:rsid w:val="00C61B32"/>
    <w:rsid w:val="00C66398"/>
    <w:rsid w:val="00C674D2"/>
    <w:rsid w:val="00C736DC"/>
    <w:rsid w:val="00C7625B"/>
    <w:rsid w:val="00C803D0"/>
    <w:rsid w:val="00C80606"/>
    <w:rsid w:val="00C809ED"/>
    <w:rsid w:val="00C81598"/>
    <w:rsid w:val="00C81EF6"/>
    <w:rsid w:val="00C820C5"/>
    <w:rsid w:val="00C8238D"/>
    <w:rsid w:val="00C95C13"/>
    <w:rsid w:val="00C95F74"/>
    <w:rsid w:val="00C97171"/>
    <w:rsid w:val="00C97A03"/>
    <w:rsid w:val="00CA4383"/>
    <w:rsid w:val="00CA5DE4"/>
    <w:rsid w:val="00CB27BD"/>
    <w:rsid w:val="00CB31B9"/>
    <w:rsid w:val="00CB6C4B"/>
    <w:rsid w:val="00CB7D34"/>
    <w:rsid w:val="00CC25B3"/>
    <w:rsid w:val="00CC2B57"/>
    <w:rsid w:val="00CC4A28"/>
    <w:rsid w:val="00CC61DB"/>
    <w:rsid w:val="00CC6329"/>
    <w:rsid w:val="00CD130B"/>
    <w:rsid w:val="00CD19B6"/>
    <w:rsid w:val="00CD2F72"/>
    <w:rsid w:val="00CD4D90"/>
    <w:rsid w:val="00CD5678"/>
    <w:rsid w:val="00CD602A"/>
    <w:rsid w:val="00CD6952"/>
    <w:rsid w:val="00CE1A34"/>
    <w:rsid w:val="00CF1826"/>
    <w:rsid w:val="00CF192B"/>
    <w:rsid w:val="00CF6DF9"/>
    <w:rsid w:val="00D005CE"/>
    <w:rsid w:val="00D033E8"/>
    <w:rsid w:val="00D052D4"/>
    <w:rsid w:val="00D05756"/>
    <w:rsid w:val="00D05937"/>
    <w:rsid w:val="00D06E6F"/>
    <w:rsid w:val="00D122CE"/>
    <w:rsid w:val="00D129F8"/>
    <w:rsid w:val="00D12CFD"/>
    <w:rsid w:val="00D138FD"/>
    <w:rsid w:val="00D149CC"/>
    <w:rsid w:val="00D217BE"/>
    <w:rsid w:val="00D22D92"/>
    <w:rsid w:val="00D259B4"/>
    <w:rsid w:val="00D25A36"/>
    <w:rsid w:val="00D26E9A"/>
    <w:rsid w:val="00D26F5C"/>
    <w:rsid w:val="00D30ED8"/>
    <w:rsid w:val="00D31860"/>
    <w:rsid w:val="00D32035"/>
    <w:rsid w:val="00D3478E"/>
    <w:rsid w:val="00D35D06"/>
    <w:rsid w:val="00D36DD1"/>
    <w:rsid w:val="00D40408"/>
    <w:rsid w:val="00D425C0"/>
    <w:rsid w:val="00D45BAB"/>
    <w:rsid w:val="00D4655F"/>
    <w:rsid w:val="00D46C4F"/>
    <w:rsid w:val="00D5419D"/>
    <w:rsid w:val="00D56F90"/>
    <w:rsid w:val="00D62099"/>
    <w:rsid w:val="00D642C1"/>
    <w:rsid w:val="00D654EA"/>
    <w:rsid w:val="00D738DA"/>
    <w:rsid w:val="00D86B47"/>
    <w:rsid w:val="00D907A4"/>
    <w:rsid w:val="00D91185"/>
    <w:rsid w:val="00D92C7A"/>
    <w:rsid w:val="00D94A37"/>
    <w:rsid w:val="00D95E14"/>
    <w:rsid w:val="00DA4C42"/>
    <w:rsid w:val="00DA626A"/>
    <w:rsid w:val="00DA6296"/>
    <w:rsid w:val="00DA6302"/>
    <w:rsid w:val="00DA7B6D"/>
    <w:rsid w:val="00DB17D2"/>
    <w:rsid w:val="00DB33E9"/>
    <w:rsid w:val="00DB656F"/>
    <w:rsid w:val="00DC1BB6"/>
    <w:rsid w:val="00DC48E2"/>
    <w:rsid w:val="00DC7D77"/>
    <w:rsid w:val="00DD0A52"/>
    <w:rsid w:val="00DD18F9"/>
    <w:rsid w:val="00DD73C8"/>
    <w:rsid w:val="00DE0171"/>
    <w:rsid w:val="00DE2FE3"/>
    <w:rsid w:val="00DF3107"/>
    <w:rsid w:val="00DF32F9"/>
    <w:rsid w:val="00DF5099"/>
    <w:rsid w:val="00E03CF0"/>
    <w:rsid w:val="00E056E3"/>
    <w:rsid w:val="00E109DE"/>
    <w:rsid w:val="00E10F9B"/>
    <w:rsid w:val="00E1176D"/>
    <w:rsid w:val="00E14F5D"/>
    <w:rsid w:val="00E16C75"/>
    <w:rsid w:val="00E20640"/>
    <w:rsid w:val="00E225F7"/>
    <w:rsid w:val="00E33406"/>
    <w:rsid w:val="00E344BE"/>
    <w:rsid w:val="00E34867"/>
    <w:rsid w:val="00E44FCF"/>
    <w:rsid w:val="00E478F1"/>
    <w:rsid w:val="00E51644"/>
    <w:rsid w:val="00E61546"/>
    <w:rsid w:val="00E62D2B"/>
    <w:rsid w:val="00E65DD4"/>
    <w:rsid w:val="00E66511"/>
    <w:rsid w:val="00E672FD"/>
    <w:rsid w:val="00E67EAA"/>
    <w:rsid w:val="00E73848"/>
    <w:rsid w:val="00E7518D"/>
    <w:rsid w:val="00E777A2"/>
    <w:rsid w:val="00E81A9D"/>
    <w:rsid w:val="00E8755A"/>
    <w:rsid w:val="00E87B05"/>
    <w:rsid w:val="00E92725"/>
    <w:rsid w:val="00E93B55"/>
    <w:rsid w:val="00E95093"/>
    <w:rsid w:val="00EA2888"/>
    <w:rsid w:val="00EA511A"/>
    <w:rsid w:val="00EB04B6"/>
    <w:rsid w:val="00EB2501"/>
    <w:rsid w:val="00EB3909"/>
    <w:rsid w:val="00EC4B0C"/>
    <w:rsid w:val="00ED08B3"/>
    <w:rsid w:val="00ED5D6A"/>
    <w:rsid w:val="00ED5EF0"/>
    <w:rsid w:val="00ED723B"/>
    <w:rsid w:val="00EE3E15"/>
    <w:rsid w:val="00EE45DA"/>
    <w:rsid w:val="00EF44DC"/>
    <w:rsid w:val="00EF57CA"/>
    <w:rsid w:val="00F01F30"/>
    <w:rsid w:val="00F05F13"/>
    <w:rsid w:val="00F076C8"/>
    <w:rsid w:val="00F07860"/>
    <w:rsid w:val="00F10426"/>
    <w:rsid w:val="00F11368"/>
    <w:rsid w:val="00F15E20"/>
    <w:rsid w:val="00F16867"/>
    <w:rsid w:val="00F21569"/>
    <w:rsid w:val="00F26328"/>
    <w:rsid w:val="00F26F5A"/>
    <w:rsid w:val="00F27154"/>
    <w:rsid w:val="00F275E9"/>
    <w:rsid w:val="00F27FE5"/>
    <w:rsid w:val="00F3226E"/>
    <w:rsid w:val="00F35325"/>
    <w:rsid w:val="00F37915"/>
    <w:rsid w:val="00F43239"/>
    <w:rsid w:val="00F45EF7"/>
    <w:rsid w:val="00F462E0"/>
    <w:rsid w:val="00F52911"/>
    <w:rsid w:val="00F52A04"/>
    <w:rsid w:val="00F54408"/>
    <w:rsid w:val="00F55806"/>
    <w:rsid w:val="00F62FBC"/>
    <w:rsid w:val="00F76A04"/>
    <w:rsid w:val="00F851F9"/>
    <w:rsid w:val="00F86B3F"/>
    <w:rsid w:val="00F87BD0"/>
    <w:rsid w:val="00F9385A"/>
    <w:rsid w:val="00FA0185"/>
    <w:rsid w:val="00FA32CA"/>
    <w:rsid w:val="00FB2AE4"/>
    <w:rsid w:val="00FB2EA3"/>
    <w:rsid w:val="00FB3E87"/>
    <w:rsid w:val="00FD1230"/>
    <w:rsid w:val="00FD24A7"/>
    <w:rsid w:val="00FD3E22"/>
    <w:rsid w:val="00FE1857"/>
    <w:rsid w:val="00FE3915"/>
    <w:rsid w:val="00FE4BA6"/>
    <w:rsid w:val="00FE73E4"/>
    <w:rsid w:val="00FF19EB"/>
    <w:rsid w:val="00FF3653"/>
    <w:rsid w:val="00FF4051"/>
    <w:rsid w:val="00FF4E9E"/>
    <w:rsid w:val="00FF65E8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8"/>
  </w:style>
  <w:style w:type="paragraph" w:styleId="2">
    <w:name w:val="heading 2"/>
    <w:basedOn w:val="a"/>
    <w:link w:val="20"/>
    <w:uiPriority w:val="9"/>
    <w:qFormat/>
    <w:rsid w:val="00E67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7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2FD"/>
  </w:style>
  <w:style w:type="character" w:styleId="a4">
    <w:name w:val="Hyperlink"/>
    <w:basedOn w:val="a0"/>
    <w:uiPriority w:val="99"/>
    <w:semiHidden/>
    <w:unhideWhenUsed/>
    <w:rsid w:val="00E672FD"/>
    <w:rPr>
      <w:color w:val="0000FF"/>
      <w:u w:val="single"/>
    </w:rPr>
  </w:style>
  <w:style w:type="character" w:customStyle="1" w:styleId="editsection">
    <w:name w:val="editsection"/>
    <w:basedOn w:val="a0"/>
    <w:rsid w:val="00E672FD"/>
  </w:style>
  <w:style w:type="character" w:customStyle="1" w:styleId="apple-style-span">
    <w:name w:val="apple-style-span"/>
    <w:basedOn w:val="a0"/>
    <w:rsid w:val="00E672FD"/>
  </w:style>
  <w:style w:type="character" w:customStyle="1" w:styleId="20">
    <w:name w:val="Заголовок 2 Знак"/>
    <w:basedOn w:val="a0"/>
    <w:link w:val="2"/>
    <w:uiPriority w:val="9"/>
    <w:rsid w:val="00E672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72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E672FD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E672FD"/>
    <w:rPr>
      <w:i/>
      <w:iCs/>
    </w:rPr>
  </w:style>
  <w:style w:type="character" w:customStyle="1" w:styleId="mw-headline">
    <w:name w:val="mw-headline"/>
    <w:basedOn w:val="a0"/>
    <w:rsid w:val="00E672FD"/>
  </w:style>
  <w:style w:type="character" w:customStyle="1" w:styleId="texhtml">
    <w:name w:val="texhtml"/>
    <w:basedOn w:val="a0"/>
    <w:rsid w:val="00E672FD"/>
  </w:style>
  <w:style w:type="paragraph" w:styleId="a6">
    <w:name w:val="Balloon Text"/>
    <w:basedOn w:val="a"/>
    <w:link w:val="a7"/>
    <w:uiPriority w:val="99"/>
    <w:semiHidden/>
    <w:unhideWhenUsed/>
    <w:rsid w:val="00E6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10B9"/>
  </w:style>
  <w:style w:type="paragraph" w:styleId="aa">
    <w:name w:val="footer"/>
    <w:basedOn w:val="a"/>
    <w:link w:val="ab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10B9"/>
  </w:style>
  <w:style w:type="paragraph" w:styleId="ac">
    <w:name w:val="List Paragraph"/>
    <w:basedOn w:val="a"/>
    <w:uiPriority w:val="34"/>
    <w:qFormat/>
    <w:rsid w:val="00267B99"/>
    <w:pPr>
      <w:ind w:left="720"/>
      <w:contextualSpacing/>
    </w:pPr>
  </w:style>
  <w:style w:type="table" w:styleId="ad">
    <w:name w:val="Table Grid"/>
    <w:basedOn w:val="a1"/>
    <w:uiPriority w:val="59"/>
    <w:rsid w:val="00EC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C1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B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5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6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9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5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900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5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5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160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9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3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4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3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4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70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8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2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1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93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8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608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3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14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5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06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59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21849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5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2298956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6%20&#1086;&#1073;&#1097;&#1080;&#1081;%20&#1087;&#1086;%20&#1086;&#1073;&#1088;&#1072;&#1097;&#1077;&#1085;&#1080;&#1103;&#1084;\&#1044;&#1080;&#1072;&#1075;&#1088;&#1072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6%20&#1086;&#1073;&#1097;&#1080;&#1081;%20&#1087;&#1086;%20&#1086;&#1073;&#1088;&#1072;&#1097;&#1077;&#1085;&#1080;&#1103;&#1084;\&#1044;&#1080;&#1072;&#1075;&#1088;&#1072;&#108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6%20&#1086;&#1073;&#1097;&#1080;&#1081;%20&#1087;&#1086;%20&#1086;&#1073;&#1088;&#1072;&#1097;&#1077;&#1085;&#1080;&#1103;&#1084;\&#1044;&#1080;&#1072;&#1075;&#1088;&#1072;&#1084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6%20&#1086;&#1073;&#1097;&#1080;&#1081;%20&#1087;&#1086;%20&#1086;&#1073;&#1088;&#1072;&#1097;&#1077;&#1085;&#1080;&#1103;&#1084;\&#1044;&#1080;&#1072;&#1075;&#1088;&#1072;&#108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6%20&#1086;&#1073;&#1097;&#1080;&#1081;%20&#1087;&#1086;%20&#1086;&#1073;&#1088;&#1072;&#1097;&#1077;&#1085;&#1080;&#1103;&#1084;\&#1044;&#1080;&#1072;&#1075;&#1088;&#1072;&#1084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6%20&#1086;&#1073;&#1097;&#1080;&#1081;%20&#1087;&#1086;%20&#1086;&#1073;&#1088;&#1072;&#1097;&#1077;&#1085;&#1080;&#1103;&#1084;\&#1044;&#1080;&#1072;&#1075;&#1088;&#1072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6%20&#1086;&#1073;&#1097;&#1080;&#1081;%20&#1087;&#1086;%20&#1086;&#1073;&#1088;&#1072;&#1097;&#1077;&#1085;&#1080;&#1103;&#1084;\&#1044;&#1080;&#1072;&#1075;&#1088;&#1072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cat>
            <c:strRef>
              <c:f>Лист1!$A$3:$A$5</c:f>
              <c:strCache>
                <c:ptCount val="3"/>
                <c:pt idx="0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5.000000000000003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777777777777793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Лист1!$A$3:$A$5</c:f>
              <c:strCache>
                <c:ptCount val="3"/>
                <c:pt idx="0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2500</c:v>
                </c:pt>
                <c:pt idx="2">
                  <c:v>2417</c:v>
                </c:pt>
              </c:numCache>
            </c:numRef>
          </c:val>
        </c:ser>
        <c:gapWidth val="43"/>
        <c:gapDepth val="52"/>
        <c:shape val="box"/>
        <c:axId val="140469376"/>
        <c:axId val="140470912"/>
        <c:axId val="0"/>
      </c:bar3DChart>
      <c:catAx>
        <c:axId val="1404693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70912"/>
        <c:crosses val="autoZero"/>
        <c:auto val="1"/>
        <c:lblAlgn val="ctr"/>
        <c:lblOffset val="100"/>
      </c:catAx>
      <c:valAx>
        <c:axId val="140470912"/>
        <c:scaling>
          <c:orientation val="minMax"/>
          <c:max val="2550"/>
          <c:min val="2050"/>
        </c:scaling>
        <c:axPos val="b"/>
        <c:majorGridlines/>
        <c:numFmt formatCode="#,##0" sourceLinked="0"/>
        <c:tickLblPos val="nextTo"/>
        <c:crossAx val="140469376"/>
        <c:crosses val="autoZero"/>
        <c:crossBetween val="between"/>
        <c:majorUnit val="50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Лист1!$A$22:$B$22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1.1111111111111125E-2"/>
                  <c:y val="-3.240740740740753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Лист1!$C$21:$D$21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Лист1!$C$22:$D$22</c:f>
              <c:numCache>
                <c:formatCode>General</c:formatCode>
                <c:ptCount val="2"/>
                <c:pt idx="0">
                  <c:v>246</c:v>
                </c:pt>
                <c:pt idx="1">
                  <c:v>2254</c:v>
                </c:pt>
              </c:numCache>
            </c:numRef>
          </c:val>
        </c:ser>
        <c:ser>
          <c:idx val="1"/>
          <c:order val="1"/>
          <c:tx>
            <c:strRef>
              <c:f>Лист1!$A$23:$B$23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3.6111111111111205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4.1666666666666664E-2"/>
                  <c:y val="-4.629629629629644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Лист1!$C$21:$D$21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Лист1!$C$23:$D$23</c:f>
              <c:numCache>
                <c:formatCode>General</c:formatCode>
                <c:ptCount val="2"/>
                <c:pt idx="0">
                  <c:v>283</c:v>
                </c:pt>
                <c:pt idx="1">
                  <c:v>2134</c:v>
                </c:pt>
              </c:numCache>
            </c:numRef>
          </c:val>
        </c:ser>
        <c:shape val="box"/>
        <c:axId val="144159104"/>
        <c:axId val="144160640"/>
        <c:axId val="0"/>
      </c:bar3DChart>
      <c:catAx>
        <c:axId val="144159104"/>
        <c:scaling>
          <c:orientation val="minMax"/>
        </c:scaling>
        <c:axPos val="b"/>
        <c:numFmt formatCode="General" sourceLinked="1"/>
        <c:tickLblPos val="nextTo"/>
        <c:crossAx val="144160640"/>
        <c:crosses val="autoZero"/>
        <c:auto val="1"/>
        <c:lblAlgn val="ctr"/>
        <c:lblOffset val="100"/>
      </c:catAx>
      <c:valAx>
        <c:axId val="144160640"/>
        <c:scaling>
          <c:orientation val="minMax"/>
        </c:scaling>
        <c:axPos val="l"/>
        <c:majorGridlines/>
        <c:numFmt formatCode="General" sourceLinked="1"/>
        <c:tickLblPos val="nextTo"/>
        <c:crossAx val="144159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7707786526684391E-3"/>
          <c:y val="8.5648148148148223E-2"/>
          <c:w val="0.56145844269466361"/>
          <c:h val="0.8657407407407407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1.0421259842519725E-2"/>
                  <c:y val="-9.2727471566054816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2.1638232720910037E-2"/>
                  <c:y val="-1.0100976961213181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611111111111112"/>
                  <c:y val="-0.21139581510644551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5.9763123359580318E-2"/>
                  <c:y val="3.5091498979294256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9.0827646544182475E-2"/>
                  <c:y val="8.7218212306794982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Лист1!$A$38:$A$44</c:f>
              <c:strCache>
                <c:ptCount val="7"/>
                <c:pt idx="0">
                  <c:v>С.О.Поляков</c:v>
                </c:pt>
                <c:pt idx="1">
                  <c:v>В.Н.Графов</c:v>
                </c:pt>
                <c:pt idx="2">
                  <c:v>М.Л.Плоцкер</c:v>
                </c:pt>
                <c:pt idx="3">
                  <c:v>А.М.Милосердов</c:v>
                </c:pt>
                <c:pt idx="4">
                  <c:v>Н.В.Полищук</c:v>
                </c:pt>
                <c:pt idx="5">
                  <c:v>Ю.С.Забазнов</c:v>
                </c:pt>
                <c:pt idx="6">
                  <c:v>И.В.Орлова</c:v>
                </c:pt>
              </c:strCache>
            </c:strRef>
          </c:cat>
          <c:val>
            <c:numRef>
              <c:f>Лист1!$B$38:$B$44</c:f>
              <c:numCache>
                <c:formatCode>General</c:formatCode>
                <c:ptCount val="7"/>
                <c:pt idx="0">
                  <c:v>66</c:v>
                </c:pt>
                <c:pt idx="1">
                  <c:v>52</c:v>
                </c:pt>
                <c:pt idx="2">
                  <c:v>168</c:v>
                </c:pt>
                <c:pt idx="3">
                  <c:v>1299</c:v>
                </c:pt>
                <c:pt idx="4">
                  <c:v>378</c:v>
                </c:pt>
                <c:pt idx="5">
                  <c:v>282</c:v>
                </c:pt>
                <c:pt idx="6">
                  <c:v>143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Лист1!$A$57:$A$61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Лист1!$B$57:$B$61</c:f>
              <c:numCache>
                <c:formatCode>General</c:formatCode>
                <c:ptCount val="5"/>
                <c:pt idx="0">
                  <c:v>334</c:v>
                </c:pt>
                <c:pt idx="1">
                  <c:v>360</c:v>
                </c:pt>
                <c:pt idx="2">
                  <c:v>675</c:v>
                </c:pt>
                <c:pt idx="3">
                  <c:v>66</c:v>
                </c:pt>
                <c:pt idx="4">
                  <c:v>1010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2221977839363"/>
          <c:y val="5.1192068957954084E-2"/>
          <c:w val="0.34166659335181004"/>
          <c:h val="0.94880793104204597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8064A2">
                  <a:lumMod val="75000"/>
                </a:srgbClr>
              </a:solidFill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3.333333333333334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4.1666666666666664E-2"/>
                  <c:y val="-3.240740740740753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Лист1!$A$75:$A$77</c:f>
              <c:strCache>
                <c:ptCount val="3"/>
                <c:pt idx="0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Лист1!$B$75:$B$77</c:f>
              <c:numCache>
                <c:formatCode>General</c:formatCode>
                <c:ptCount val="3"/>
                <c:pt idx="0">
                  <c:v>142</c:v>
                </c:pt>
                <c:pt idx="2">
                  <c:v>116</c:v>
                </c:pt>
              </c:numCache>
            </c:numRef>
          </c:val>
        </c:ser>
        <c:shape val="box"/>
        <c:axId val="141005184"/>
        <c:axId val="141006720"/>
        <c:axId val="0"/>
      </c:bar3DChart>
      <c:catAx>
        <c:axId val="141005184"/>
        <c:scaling>
          <c:orientation val="minMax"/>
        </c:scaling>
        <c:axPos val="b"/>
        <c:numFmt formatCode="General" sourceLinked="1"/>
        <c:tickLblPos val="nextTo"/>
        <c:crossAx val="141006720"/>
        <c:crossesAt val="26"/>
        <c:auto val="1"/>
        <c:lblAlgn val="ctr"/>
        <c:lblOffset val="100"/>
      </c:catAx>
      <c:valAx>
        <c:axId val="141006720"/>
        <c:scaling>
          <c:orientation val="minMax"/>
          <c:min val="26"/>
        </c:scaling>
        <c:axPos val="l"/>
        <c:majorGridlines/>
        <c:numFmt formatCode="General" sourceLinked="1"/>
        <c:tickLblPos val="nextTo"/>
        <c:crossAx val="141005184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Лист1!$A$96:$B$96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Лист1!$C$95:$E$95</c:f>
              <c:strCache>
                <c:ptCount val="2"/>
                <c:pt idx="0">
                  <c:v>с выездом на место</c:v>
                </c:pt>
                <c:pt idx="1">
                  <c:v>комиссионно</c:v>
                </c:pt>
              </c:strCache>
            </c:strRef>
          </c:cat>
          <c:val>
            <c:numRef>
              <c:f>Лист1!$C$96:$E$96</c:f>
              <c:numCache>
                <c:formatCode>General</c:formatCode>
                <c:ptCount val="3"/>
                <c:pt idx="0">
                  <c:v>124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Лист1!$A$97:$B$97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Лист1!$C$95:$E$95</c:f>
              <c:strCache>
                <c:ptCount val="2"/>
                <c:pt idx="0">
                  <c:v>с выездом на место</c:v>
                </c:pt>
                <c:pt idx="1">
                  <c:v>комиссионно</c:v>
                </c:pt>
              </c:strCache>
            </c:strRef>
          </c:cat>
          <c:val>
            <c:numRef>
              <c:f>Лист1!$C$97:$E$97</c:f>
              <c:numCache>
                <c:formatCode>General</c:formatCode>
                <c:ptCount val="3"/>
                <c:pt idx="0">
                  <c:v>225</c:v>
                </c:pt>
                <c:pt idx="1">
                  <c:v>167</c:v>
                </c:pt>
              </c:numCache>
            </c:numRef>
          </c:val>
        </c:ser>
        <c:shape val="box"/>
        <c:axId val="141179520"/>
        <c:axId val="141644160"/>
        <c:axId val="0"/>
      </c:bar3DChart>
      <c:catAx>
        <c:axId val="1411795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644160"/>
        <c:crosses val="autoZero"/>
        <c:auto val="1"/>
        <c:lblAlgn val="ctr"/>
        <c:lblOffset val="100"/>
      </c:catAx>
      <c:valAx>
        <c:axId val="141644160"/>
        <c:scaling>
          <c:orientation val="minMax"/>
        </c:scaling>
        <c:axPos val="l"/>
        <c:majorGridlines/>
        <c:numFmt formatCode="General" sourceLinked="1"/>
        <c:tickLblPos val="nextTo"/>
        <c:crossAx val="141179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Лист1!$A$134:$B$134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9411764705882392E-3"/>
                  <c:y val="-8.2750784200755108E-3"/>
                </c:manualLayout>
              </c:layout>
              <c:showVal val="1"/>
            </c:dLbl>
            <c:dLbl>
              <c:idx val="2"/>
              <c:layout>
                <c:manualLayout>
                  <c:x val="-1.9444444444444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Лист1!$C$133:$H$133</c:f>
              <c:strCache>
                <c:ptCount val="5"/>
                <c:pt idx="0">
                  <c:v>разъяснено</c:v>
                </c:pt>
                <c:pt idx="2">
                  <c:v>поддержано</c:v>
                </c:pt>
                <c:pt idx="4">
                  <c:v>не поддержано</c:v>
                </c:pt>
              </c:strCache>
            </c:strRef>
          </c:cat>
          <c:val>
            <c:numRef>
              <c:f>Лист1!$C$134:$H$134</c:f>
              <c:numCache>
                <c:formatCode>General</c:formatCode>
                <c:ptCount val="6"/>
                <c:pt idx="0">
                  <c:v>71</c:v>
                </c:pt>
                <c:pt idx="2">
                  <c:v>27.8</c:v>
                </c:pt>
                <c:pt idx="4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Лист1!$A$135:$B$135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4411764705882402E-2"/>
                  <c:y val="9.8236348505217983E-3"/>
                </c:manualLayout>
              </c:layout>
              <c:showVal val="1"/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555555555555582E-2"/>
                  <c:y val="-9.2592592592592136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Лист1!$C$133:$H$133</c:f>
              <c:strCache>
                <c:ptCount val="5"/>
                <c:pt idx="0">
                  <c:v>разъяснено</c:v>
                </c:pt>
                <c:pt idx="2">
                  <c:v>поддержано</c:v>
                </c:pt>
                <c:pt idx="4">
                  <c:v>не поддержано</c:v>
                </c:pt>
              </c:strCache>
            </c:strRef>
          </c:cat>
          <c:val>
            <c:numRef>
              <c:f>Лист1!$C$135:$H$135</c:f>
              <c:numCache>
                <c:formatCode>General</c:formatCode>
                <c:ptCount val="6"/>
                <c:pt idx="0">
                  <c:v>70.5</c:v>
                </c:pt>
                <c:pt idx="2">
                  <c:v>29</c:v>
                </c:pt>
                <c:pt idx="4">
                  <c:v>0.30000000000000032</c:v>
                </c:pt>
              </c:numCache>
            </c:numRef>
          </c:val>
        </c:ser>
        <c:shape val="box"/>
        <c:axId val="141653504"/>
        <c:axId val="141655040"/>
        <c:axId val="0"/>
      </c:bar3DChart>
      <c:catAx>
        <c:axId val="141653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655040"/>
        <c:crosses val="autoZero"/>
        <c:auto val="1"/>
        <c:lblAlgn val="ctr"/>
        <c:lblOffset val="100"/>
      </c:catAx>
      <c:valAx>
        <c:axId val="141655040"/>
        <c:scaling>
          <c:orientation val="minMax"/>
        </c:scaling>
        <c:axPos val="l"/>
        <c:majorGridlines/>
        <c:numFmt formatCode="General" sourceLinked="1"/>
        <c:tickLblPos val="nextTo"/>
        <c:crossAx val="141653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CC1F-4F6F-4CBD-BCE2-C5956CCF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tsinkova</cp:lastModifiedBy>
  <cp:revision>77</cp:revision>
  <cp:lastPrinted>2015-10-26T10:58:00Z</cp:lastPrinted>
  <dcterms:created xsi:type="dcterms:W3CDTF">2017-01-14T11:09:00Z</dcterms:created>
  <dcterms:modified xsi:type="dcterms:W3CDTF">2017-01-17T12:24:00Z</dcterms:modified>
</cp:coreProperties>
</file>