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71" w:rsidRPr="002D764A" w:rsidRDefault="00DD1B71" w:rsidP="00774A7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09197F" w:rsidRPr="00774A7A" w:rsidRDefault="005775E9" w:rsidP="0009197F">
      <w:pPr>
        <w:pStyle w:val="a3"/>
        <w:rPr>
          <w:sz w:val="36"/>
          <w:szCs w:val="36"/>
        </w:rPr>
      </w:pPr>
      <w:r w:rsidRPr="00774A7A">
        <w:rPr>
          <w:sz w:val="36"/>
          <w:szCs w:val="36"/>
        </w:rPr>
        <w:t>А</w:t>
      </w:r>
      <w:r w:rsidR="00A04A56">
        <w:rPr>
          <w:sz w:val="36"/>
          <w:szCs w:val="36"/>
        </w:rPr>
        <w:t>дминистрация</w:t>
      </w:r>
      <w:r w:rsidRPr="00774A7A">
        <w:rPr>
          <w:sz w:val="36"/>
          <w:szCs w:val="36"/>
        </w:rPr>
        <w:t xml:space="preserve"> </w:t>
      </w:r>
    </w:p>
    <w:p w:rsidR="0009197F" w:rsidRPr="00774A7A" w:rsidRDefault="0009197F" w:rsidP="0009197F">
      <w:pPr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5969A6" w:rsidRPr="009B5D5C" w:rsidRDefault="00A04A5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16.04.2015</w:t>
      </w:r>
      <w:r>
        <w:rPr>
          <w:rFonts w:ascii="Times New Roman" w:hAnsi="Times New Roman" w:cs="Times New Roman"/>
          <w:sz w:val="28"/>
          <w:szCs w:val="28"/>
        </w:rPr>
        <w:tab/>
      </w:r>
      <w:r w:rsidR="005969A6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223</w:t>
      </w:r>
    </w:p>
    <w:p w:rsidR="005969A6" w:rsidRPr="009B5D5C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5D5C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5969A6" w:rsidRPr="00CA0885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7F3FFC" w:rsidRDefault="00246CFA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>за 1 квартал 2015</w:t>
      </w:r>
      <w:r w:rsidR="005969A6" w:rsidRPr="007F3F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69A6" w:rsidRPr="001B3960" w:rsidRDefault="005969A6" w:rsidP="005969A6">
      <w:pPr>
        <w:pStyle w:val="ConsPlusNormal"/>
        <w:widowControl/>
        <w:ind w:firstLine="540"/>
        <w:jc w:val="both"/>
        <w:rPr>
          <w:highlight w:val="yellow"/>
        </w:rPr>
      </w:pPr>
    </w:p>
    <w:p w:rsidR="005969A6" w:rsidRPr="007F3FFC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со статьей 49 решения Волгодонской городской Думы от 05.09.2007 № 110 «О бюджетном процессе в городе Волгодонске», Уставом муниципального образования «Город Волгодонск» </w:t>
      </w:r>
    </w:p>
    <w:p w:rsidR="005969A6" w:rsidRPr="001B3960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7F3FFC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69A6" w:rsidRPr="007F3FFC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FC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7F3FFC">
        <w:rPr>
          <w:rFonts w:ascii="Times New Roman" w:hAnsi="Times New Roman" w:cs="Times New Roman"/>
          <w:sz w:val="28"/>
          <w:szCs w:val="28"/>
        </w:rPr>
        <w:t>за 1 квартал 201</w:t>
      </w:r>
      <w:r w:rsidR="00246CFA" w:rsidRPr="007F3FFC">
        <w:rPr>
          <w:rFonts w:ascii="Times New Roman" w:hAnsi="Times New Roman" w:cs="Times New Roman"/>
          <w:sz w:val="28"/>
          <w:szCs w:val="28"/>
        </w:rPr>
        <w:t>5</w:t>
      </w:r>
      <w:r w:rsidRPr="007F3F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3FFC">
        <w:rPr>
          <w:rFonts w:ascii="Times New Roman" w:hAnsi="Times New Roman" w:cs="Times New Roman"/>
          <w:sz w:val="28"/>
        </w:rPr>
        <w:t xml:space="preserve"> по доходам в сумме </w:t>
      </w:r>
      <w:r w:rsidR="007F3FFC" w:rsidRPr="007F3FFC">
        <w:rPr>
          <w:rFonts w:ascii="Times New Roman" w:hAnsi="Times New Roman" w:cs="Times New Roman"/>
          <w:sz w:val="28"/>
        </w:rPr>
        <w:t>875 975,2</w:t>
      </w:r>
      <w:r w:rsidRPr="007F3FFC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7F3FFC" w:rsidRPr="007F3FFC">
        <w:rPr>
          <w:rFonts w:ascii="Times New Roman" w:hAnsi="Times New Roman" w:cs="Times New Roman"/>
          <w:sz w:val="28"/>
        </w:rPr>
        <w:t>724 884,5</w:t>
      </w:r>
      <w:r w:rsidRPr="007F3FFC">
        <w:rPr>
          <w:rFonts w:ascii="Times New Roman" w:hAnsi="Times New Roman" w:cs="Times New Roman"/>
          <w:sz w:val="28"/>
        </w:rPr>
        <w:t xml:space="preserve"> тыс. рублей с превышением доходов над расходами (профицит местного бюджета) в сумме </w:t>
      </w:r>
      <w:r w:rsidR="007F3FFC">
        <w:rPr>
          <w:rFonts w:ascii="Times New Roman" w:hAnsi="Times New Roman" w:cs="Times New Roman"/>
          <w:sz w:val="28"/>
        </w:rPr>
        <w:t>151 090,7</w:t>
      </w:r>
      <w:r w:rsidR="002B0843">
        <w:rPr>
          <w:rFonts w:ascii="Times New Roman" w:hAnsi="Times New Roman" w:cs="Times New Roman"/>
          <w:sz w:val="28"/>
        </w:rPr>
        <w:t xml:space="preserve"> </w:t>
      </w:r>
      <w:r w:rsidRPr="007F3FFC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Pr="007F3FFC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F3FFC">
        <w:rPr>
          <w:rFonts w:ascii="Times New Roman" w:hAnsi="Times New Roman" w:cs="Times New Roman"/>
          <w:sz w:val="28"/>
        </w:rPr>
        <w:t>Финансовому управлению города Волгодонска (Н.В.Белякова) направить настоящее постановление в Волгодонскую городскую Думу и Контрольно-счетную палату города Волгодонска.</w:t>
      </w:r>
    </w:p>
    <w:p w:rsidR="002B0843" w:rsidRPr="002B0843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43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E211F4">
        <w:rPr>
          <w:rFonts w:ascii="Times New Roman" w:hAnsi="Times New Roman" w:cs="Times New Roman"/>
          <w:sz w:val="28"/>
        </w:rPr>
        <w:t>дня его</w:t>
      </w:r>
      <w:r w:rsidR="002B0843">
        <w:rPr>
          <w:rFonts w:ascii="Times New Roman" w:hAnsi="Times New Roman" w:cs="Times New Roman"/>
          <w:sz w:val="28"/>
        </w:rPr>
        <w:t xml:space="preserve"> принятия и подлежит</w:t>
      </w:r>
      <w:r w:rsidR="002B0843" w:rsidRPr="00E211F4">
        <w:rPr>
          <w:rFonts w:ascii="Times New Roman" w:hAnsi="Times New Roman" w:cs="Times New Roman"/>
          <w:sz w:val="28"/>
        </w:rPr>
        <w:t xml:space="preserve"> </w:t>
      </w:r>
      <w:r w:rsidR="002B0843">
        <w:rPr>
          <w:rFonts w:ascii="Times New Roman" w:hAnsi="Times New Roman" w:cs="Times New Roman"/>
          <w:sz w:val="28"/>
        </w:rPr>
        <w:t>опубликованию</w:t>
      </w:r>
      <w:r w:rsidR="002B0843" w:rsidRPr="00E211F4">
        <w:rPr>
          <w:rFonts w:ascii="Times New Roman" w:hAnsi="Times New Roman" w:cs="Times New Roman"/>
          <w:sz w:val="28"/>
        </w:rPr>
        <w:t xml:space="preserve"> в бюллетене «Волгодонск официальный»</w:t>
      </w:r>
      <w:r w:rsidR="002B0843">
        <w:rPr>
          <w:rFonts w:ascii="Times New Roman" w:hAnsi="Times New Roman" w:cs="Times New Roman"/>
          <w:sz w:val="28"/>
        </w:rPr>
        <w:t>.</w:t>
      </w:r>
    </w:p>
    <w:p w:rsidR="005969A6" w:rsidRPr="002B0843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43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 заместителя главы Администрации города Волгодонска по экономике и финанс</w:t>
      </w:r>
      <w:r w:rsidR="002B0843" w:rsidRPr="002B0843">
        <w:rPr>
          <w:rFonts w:ascii="Times New Roman" w:hAnsi="Times New Roman" w:cs="Times New Roman"/>
          <w:sz w:val="28"/>
          <w:szCs w:val="28"/>
        </w:rPr>
        <w:t>ам И.В. </w:t>
      </w:r>
      <w:r w:rsidRPr="002B0843">
        <w:rPr>
          <w:rFonts w:ascii="Times New Roman" w:hAnsi="Times New Roman" w:cs="Times New Roman"/>
          <w:sz w:val="28"/>
          <w:szCs w:val="28"/>
        </w:rPr>
        <w:t>Столяра.</w:t>
      </w:r>
    </w:p>
    <w:p w:rsidR="005969A6" w:rsidRPr="007F3FFC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7F3FFC" w:rsidRDefault="001B3960" w:rsidP="005969A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F3FFC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1B3960" w:rsidRPr="007F3FFC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A04A56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F3FFC">
        <w:rPr>
          <w:rFonts w:ascii="Times New Roman" w:eastAsia="Times New Roman" w:hAnsi="Times New Roman"/>
          <w:sz w:val="28"/>
          <w:szCs w:val="20"/>
          <w:lang w:eastAsia="ru-RU"/>
        </w:rPr>
        <w:tab/>
        <w:t>А.Н. Иванов</w:t>
      </w: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7F3FFC">
        <w:rPr>
          <w:rFonts w:ascii="Times New Roman" w:hAnsi="Times New Roman" w:cs="Times New Roman"/>
        </w:rPr>
        <w:t xml:space="preserve">Проект вносит </w:t>
      </w:r>
    </w:p>
    <w:p w:rsidR="005969A6" w:rsidRPr="007F3FF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7F3FFC">
        <w:rPr>
          <w:rFonts w:ascii="Times New Roman" w:hAnsi="Times New Roman" w:cs="Times New Roman"/>
        </w:rPr>
        <w:t xml:space="preserve">Финансовое управление </w:t>
      </w:r>
    </w:p>
    <w:p w:rsidR="005969A6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7F3FFC">
        <w:rPr>
          <w:rFonts w:ascii="Times New Roman" w:hAnsi="Times New Roman" w:cs="Times New Roman"/>
        </w:rPr>
        <w:t>города Волгодонска</w:t>
      </w:r>
      <w:r w:rsidRPr="00A17D3F">
        <w:rPr>
          <w:rFonts w:ascii="Times New Roman" w:hAnsi="Times New Roman" w:cs="Times New Roman"/>
        </w:rPr>
        <w:t xml:space="preserve"> </w:t>
      </w:r>
    </w:p>
    <w:p w:rsidR="00546B97" w:rsidRPr="00A17D3F" w:rsidRDefault="003B4AC5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2590800" cy="136207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A6" w:rsidRPr="00327618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5969A6" w:rsidRPr="00A17D3F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highlight w:val="yellow"/>
        </w:rPr>
        <w:br w:type="page"/>
      </w:r>
      <w:r w:rsidRPr="00A17D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A17D3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A17D3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A17D3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 xml:space="preserve">от  </w:t>
      </w:r>
      <w:r w:rsidR="00A04A56">
        <w:rPr>
          <w:rFonts w:ascii="Times New Roman" w:hAnsi="Times New Roman" w:cs="Times New Roman"/>
          <w:sz w:val="28"/>
          <w:szCs w:val="28"/>
        </w:rPr>
        <w:t>16.04.2015</w:t>
      </w:r>
      <w:r w:rsidRPr="00A17D3F">
        <w:rPr>
          <w:rFonts w:ascii="Times New Roman" w:hAnsi="Times New Roman" w:cs="Times New Roman"/>
          <w:sz w:val="28"/>
          <w:szCs w:val="28"/>
        </w:rPr>
        <w:t xml:space="preserve">  № </w:t>
      </w:r>
      <w:r w:rsidR="00A04A56">
        <w:rPr>
          <w:rFonts w:ascii="Times New Roman" w:hAnsi="Times New Roman" w:cs="Times New Roman"/>
          <w:sz w:val="28"/>
          <w:szCs w:val="28"/>
        </w:rPr>
        <w:t>223</w:t>
      </w:r>
    </w:p>
    <w:p w:rsidR="005969A6" w:rsidRPr="00A17D3F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A17D3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7D3F">
        <w:rPr>
          <w:rFonts w:ascii="Times New Roman" w:hAnsi="Times New Roman" w:cs="Times New Roman"/>
          <w:b w:val="0"/>
          <w:sz w:val="28"/>
          <w:szCs w:val="28"/>
        </w:rPr>
        <w:t>Отчет об исполнении бюджета города Волгодонска за 1 квартал 201</w:t>
      </w:r>
      <w:r w:rsidR="00C80B87">
        <w:rPr>
          <w:rFonts w:ascii="Times New Roman" w:hAnsi="Times New Roman" w:cs="Times New Roman"/>
          <w:b w:val="0"/>
          <w:sz w:val="28"/>
          <w:szCs w:val="28"/>
        </w:rPr>
        <w:t>5</w:t>
      </w:r>
      <w:r w:rsidRPr="00A17D3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A17D3F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A17D3F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A17D3F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17D3F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69A6" w:rsidRPr="00A17D3F" w:rsidRDefault="005969A6" w:rsidP="005969A6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A17D3F" w:rsidTr="00DE6213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17D3F" w:rsidRDefault="005969A6" w:rsidP="007F3F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17D3F" w:rsidRDefault="005969A6" w:rsidP="00DE62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17D3F" w:rsidRDefault="005969A6" w:rsidP="00DE62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1C05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1 690 920,2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367 896,1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152 872,5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152 872,5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6B00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алоги на товары (работы, услуги), реализуемые на территории </w:t>
            </w:r>
            <w:r w:rsidR="006B0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="006B0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3 060,5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3 060,5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208 756,0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48 287,2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20 350,3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111 531,8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24 551,0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499,1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2 886,8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416 873,8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93 342,6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60 274,8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1 704,7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356 599,0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91 637,9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22 090,0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4 462,8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4 426,0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255 584,7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46 151,9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250 548,2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43 632,6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2 144,3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1 123,8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1 123,8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1 518,5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446,4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993337" w:rsidRDefault="00993337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993337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1 072,1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1C05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7F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50 517,9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13 884,6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993337" w:rsidRDefault="00993337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993337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5 936,7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40 517,9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7 567,9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3 187,0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3 187,0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F3FFC" w:rsidRPr="00993337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993337" w:rsidRDefault="00993337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993337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2 199 665,9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508 079,1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езвозмездные поступления от дру</w:t>
            </w:r>
            <w:r w:rsidR="00CE2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гих бюджетов бюджетной системы Российской Ф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2 199 665,9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511 908,6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451 329,8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14 107,0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1 741 983,5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496 299,5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1 502,1</w:t>
            </w:r>
          </w:p>
        </w:tc>
      </w:tr>
      <w:tr w:rsidR="007F3FFC" w:rsidRPr="00993337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993337" w:rsidRDefault="00993337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7F3FFC" w:rsidRPr="00993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993337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-3 829,5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1C0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3 890 586,1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875 975,2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1C05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290 407,4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46 723,6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1 094,4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17 349,5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3 642,7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92 108,1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18 155,9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4 247,8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145 041,1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19 582,8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33 448,7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4 584,1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33 448,7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4 584,1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212 696,5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15 969,2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595,7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1 269,2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186 179,6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14 074,2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478 792,1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26 665,2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189 086,5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95 520,3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108 893,3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10 355,6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85 292,0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15 911,3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1 750 760,8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335 850,7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806 898,2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132 014,4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863 344,4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189 522,5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26 200,3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5 524,8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54 317,9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8 789,0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156 143,1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32 258,9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145 737,9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29 993,6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2 265,3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36 223,5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11 315,1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7 991,5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963,9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2 359,7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1 048 556,3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241 477,5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1 632,7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66 530,0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12 259,7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841 162,4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204 000,3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93 886,3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16 521,4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40 560,1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7 063,4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61 579,7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10 030,5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55 747,1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8 865,1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1 165,4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4 095 913,1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724 884,5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1C05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-205 327,0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151 090,7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8E5B8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E20E6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1C05" w:rsidRDefault="00734134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205 327,0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195D11" w:rsidRDefault="00CE20E6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F3FFC" w:rsidRPr="0019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151 090,7</w:t>
            </w:r>
          </w:p>
        </w:tc>
      </w:tr>
      <w:tr w:rsidR="007F3FFC" w:rsidRPr="007F3FFC" w:rsidTr="00DE6213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7F3FFC" w:rsidP="007F3F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E578F1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205 327,0</w:t>
            </w:r>
            <w:r w:rsidR="007F3FFC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FFC" w:rsidRPr="007F3FFC" w:rsidRDefault="00CE20E6" w:rsidP="00DE621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F3FFC" w:rsidRPr="007F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151 090,7</w:t>
            </w:r>
          </w:p>
        </w:tc>
      </w:tr>
    </w:tbl>
    <w:p w:rsidR="001B3960" w:rsidRPr="007F3FFC" w:rsidRDefault="001B3960" w:rsidP="007F3FFC">
      <w:pPr>
        <w:spacing w:after="0" w:line="240" w:lineRule="auto"/>
        <w:rPr>
          <w:rFonts w:ascii="Times New Roman" w:hAnsi="Times New Roman"/>
        </w:rPr>
      </w:pPr>
    </w:p>
    <w:p w:rsidR="005969A6" w:rsidRPr="007F3FFC" w:rsidRDefault="005969A6" w:rsidP="007F3FFC">
      <w:pPr>
        <w:spacing w:after="0" w:line="240" w:lineRule="auto"/>
        <w:rPr>
          <w:rFonts w:ascii="Times New Roman" w:hAnsi="Times New Roman"/>
        </w:rPr>
      </w:pPr>
    </w:p>
    <w:p w:rsidR="005969A6" w:rsidRDefault="005969A6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506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546B97" w:rsidRPr="00B2666B" w:rsidRDefault="003B4AC5" w:rsidP="005969A6">
      <w:pPr>
        <w:pStyle w:val="ConsPlusNormal"/>
        <w:widowControl/>
        <w:ind w:firstLine="0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2590800" cy="1362075"/>
            <wp:effectExtent l="19050" t="0" r="0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A6" w:rsidRPr="002E498F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2E498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2E498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2E498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2E498F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>за 1 квартал 201</w:t>
      </w:r>
      <w:r w:rsidR="00FC0923">
        <w:rPr>
          <w:rFonts w:ascii="Times New Roman" w:hAnsi="Times New Roman" w:cs="Times New Roman"/>
          <w:b w:val="0"/>
          <w:sz w:val="28"/>
          <w:szCs w:val="28"/>
        </w:rPr>
        <w:t>5</w:t>
      </w: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2E498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9A6" w:rsidRPr="002E498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5969A6" w:rsidRPr="002E498F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ходе исполнения бюджета города Волгодонска 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>квартал 201</w:t>
      </w:r>
      <w:r w:rsidR="00FC092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5969A6" w:rsidRPr="00A17D3F" w:rsidRDefault="005969A6" w:rsidP="005969A6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A17D3F" w:rsidRDefault="005969A6" w:rsidP="005969A6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C204EB" w:rsidRDefault="003A673C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21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1 квартал 2015 года составило по доходам 875 975,2 тыс. рублей, или 22,5 процента к годовому плану, </w:t>
      </w:r>
      <w:r w:rsidRPr="00165930">
        <w:rPr>
          <w:rFonts w:ascii="Times New Roman" w:hAnsi="Times New Roman" w:cs="Times New Roman"/>
          <w:sz w:val="28"/>
          <w:szCs w:val="28"/>
        </w:rPr>
        <w:t>и по расходам 724 884,5 тыс. рублей</w:t>
      </w:r>
      <w:r w:rsidR="009A29DF">
        <w:rPr>
          <w:rFonts w:ascii="Times New Roman" w:hAnsi="Times New Roman" w:cs="Times New Roman"/>
          <w:sz w:val="28"/>
          <w:szCs w:val="28"/>
        </w:rPr>
        <w:t xml:space="preserve"> (в том числе за счет собственных средств -316 673,1 тыс. рублей</w:t>
      </w:r>
      <w:r w:rsidRPr="00165930">
        <w:rPr>
          <w:rFonts w:ascii="Times New Roman" w:hAnsi="Times New Roman" w:cs="Times New Roman"/>
          <w:sz w:val="28"/>
          <w:szCs w:val="28"/>
        </w:rPr>
        <w:t>,</w:t>
      </w:r>
      <w:r w:rsidR="009A29DF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-408 211,4 тыс. рублей)</w:t>
      </w:r>
      <w:r w:rsidRPr="00165930">
        <w:rPr>
          <w:rFonts w:ascii="Times New Roman" w:hAnsi="Times New Roman" w:cs="Times New Roman"/>
          <w:sz w:val="28"/>
          <w:szCs w:val="28"/>
        </w:rPr>
        <w:t xml:space="preserve"> или 17,7 процента к годовому плану. По сравнению с </w:t>
      </w:r>
      <w:r w:rsidRPr="00165930">
        <w:rPr>
          <w:rFonts w:ascii="Times New Roman" w:hAnsi="Times New Roman"/>
          <w:sz w:val="28"/>
          <w:szCs w:val="28"/>
        </w:rPr>
        <w:t>аналогичным периодом прошлого года объем поступлений собственных доходов бюджета города снизился на 71 856,1 тыс. рублей, или на 16,3 процента,</w:t>
      </w:r>
      <w:r>
        <w:rPr>
          <w:rFonts w:ascii="Times New Roman" w:hAnsi="Times New Roman"/>
          <w:sz w:val="28"/>
          <w:szCs w:val="28"/>
        </w:rPr>
        <w:t xml:space="preserve"> из них по налогу на прибыль снижение на 39 968,3 тыс. рублей в связи с отменой передачи в местные бюджеты норматива отчислений; по земельному налогу – на 11 086,0 тыс. рублей; по доходам, получаемым в виде арендной платы за земельные участки – на 10 841,5 тыс. рублей и доходам от продажи земельных участков – на 23 496,4 тыс. рублей. Б</w:t>
      </w:r>
      <w:r w:rsidRPr="00165930">
        <w:rPr>
          <w:rFonts w:ascii="Times New Roman" w:hAnsi="Times New Roman"/>
          <w:sz w:val="28"/>
          <w:szCs w:val="28"/>
        </w:rPr>
        <w:t xml:space="preserve">езвозмездные поступления возросли на 43 221,9 тыс. рублей, или на 9,3 процента. </w:t>
      </w:r>
      <w:r w:rsidR="005969A6" w:rsidRPr="00165930">
        <w:rPr>
          <w:rFonts w:ascii="Times New Roman" w:hAnsi="Times New Roman"/>
          <w:sz w:val="28"/>
          <w:szCs w:val="28"/>
        </w:rPr>
        <w:t>По расходам по сравнению с аналогичным периодом</w:t>
      </w:r>
      <w:r w:rsidR="005969A6" w:rsidRPr="00FC0923">
        <w:rPr>
          <w:rFonts w:ascii="Times New Roman" w:hAnsi="Times New Roman"/>
          <w:sz w:val="28"/>
          <w:szCs w:val="28"/>
        </w:rPr>
        <w:t xml:space="preserve"> прошлого года </w:t>
      </w:r>
      <w:r w:rsidR="00FC0923" w:rsidRPr="00FC0923">
        <w:rPr>
          <w:rFonts w:ascii="Times New Roman" w:hAnsi="Times New Roman"/>
          <w:sz w:val="28"/>
          <w:szCs w:val="28"/>
        </w:rPr>
        <w:t>уменьшение</w:t>
      </w:r>
      <w:r w:rsidR="005969A6" w:rsidRPr="00FC0923">
        <w:rPr>
          <w:rFonts w:ascii="Times New Roman" w:hAnsi="Times New Roman"/>
          <w:sz w:val="28"/>
          <w:szCs w:val="28"/>
        </w:rPr>
        <w:t xml:space="preserve"> составило </w:t>
      </w:r>
      <w:r w:rsidR="00FC0923" w:rsidRPr="00FC0923">
        <w:rPr>
          <w:rFonts w:ascii="Times New Roman" w:hAnsi="Times New Roman" w:cs="Times New Roman"/>
          <w:sz w:val="28"/>
          <w:szCs w:val="28"/>
        </w:rPr>
        <w:t>36 319,2</w:t>
      </w:r>
      <w:r w:rsidR="005969A6" w:rsidRPr="00FC0923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FC0923" w:rsidRPr="00FC0923">
        <w:rPr>
          <w:rFonts w:ascii="Times New Roman" w:hAnsi="Times New Roman" w:cs="Times New Roman"/>
          <w:sz w:val="28"/>
          <w:szCs w:val="28"/>
        </w:rPr>
        <w:t>5,01</w:t>
      </w:r>
      <w:r w:rsidR="005969A6" w:rsidRPr="00FC0923">
        <w:rPr>
          <w:rFonts w:ascii="Times New Roman" w:hAnsi="Times New Roman" w:cs="Times New Roman"/>
          <w:sz w:val="28"/>
          <w:szCs w:val="28"/>
        </w:rPr>
        <w:t xml:space="preserve"> процента. По итогам исполнения бюджета за 1 квартал сложился профицит </w:t>
      </w:r>
      <w:r w:rsidR="005969A6" w:rsidRPr="00C204E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204EB" w:rsidRPr="00C204EB">
        <w:rPr>
          <w:rFonts w:ascii="Times New Roman" w:hAnsi="Times New Roman" w:cs="Times New Roman"/>
          <w:sz w:val="28"/>
          <w:szCs w:val="28"/>
        </w:rPr>
        <w:t>150 090,7</w:t>
      </w:r>
      <w:r w:rsidR="005969A6" w:rsidRPr="00C204EB">
        <w:rPr>
          <w:rFonts w:ascii="Times New Roman" w:hAnsi="Times New Roman" w:cs="Times New Roman"/>
          <w:sz w:val="28"/>
          <w:szCs w:val="28"/>
        </w:rPr>
        <w:t xml:space="preserve"> тыс. рублей, в связи с тем, что доходы превысили расходы из–за особенностей исполнения бюджета в 1 квартале 201</w:t>
      </w:r>
      <w:r w:rsidR="00FC0923" w:rsidRPr="00C204EB">
        <w:rPr>
          <w:rFonts w:ascii="Times New Roman" w:hAnsi="Times New Roman" w:cs="Times New Roman"/>
          <w:sz w:val="28"/>
          <w:szCs w:val="28"/>
        </w:rPr>
        <w:t>5</w:t>
      </w:r>
      <w:r w:rsidR="005E184F"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C204EB">
        <w:rPr>
          <w:rFonts w:ascii="Times New Roman" w:hAnsi="Times New Roman" w:cs="Times New Roman"/>
          <w:sz w:val="28"/>
          <w:szCs w:val="28"/>
        </w:rPr>
        <w:t>года.</w:t>
      </w:r>
    </w:p>
    <w:p w:rsidR="005969A6" w:rsidRPr="007748C9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C9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7748C9" w:rsidRPr="007748C9">
        <w:rPr>
          <w:rFonts w:ascii="Times New Roman" w:hAnsi="Times New Roman" w:cs="Times New Roman"/>
          <w:sz w:val="28"/>
          <w:szCs w:val="28"/>
        </w:rPr>
        <w:t>367 896,1</w:t>
      </w:r>
      <w:r w:rsidRPr="007748C9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7748C9" w:rsidRPr="007748C9">
        <w:rPr>
          <w:rFonts w:ascii="Times New Roman" w:hAnsi="Times New Roman" w:cs="Times New Roman"/>
          <w:sz w:val="28"/>
          <w:szCs w:val="28"/>
        </w:rPr>
        <w:t>1,8</w:t>
      </w:r>
      <w:r w:rsidRPr="007748C9">
        <w:rPr>
          <w:rFonts w:ascii="Times New Roman" w:hAnsi="Times New Roman" w:cs="Times New Roman"/>
          <w:sz w:val="28"/>
          <w:szCs w:val="28"/>
        </w:rPr>
        <w:t xml:space="preserve"> процента к годовому плану. Наибольший удельный вес в структуре собственных доходов занимают: налог на доходы физических лиц – 1</w:t>
      </w:r>
      <w:r w:rsidR="007748C9" w:rsidRPr="007748C9">
        <w:rPr>
          <w:rFonts w:ascii="Times New Roman" w:hAnsi="Times New Roman" w:cs="Times New Roman"/>
          <w:sz w:val="28"/>
          <w:szCs w:val="28"/>
        </w:rPr>
        <w:t>52 872,5</w:t>
      </w:r>
      <w:r w:rsidRPr="007748C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748C9" w:rsidRPr="007748C9">
        <w:rPr>
          <w:rFonts w:ascii="Times New Roman" w:hAnsi="Times New Roman" w:cs="Times New Roman"/>
          <w:sz w:val="28"/>
          <w:szCs w:val="28"/>
        </w:rPr>
        <w:t>41,6</w:t>
      </w:r>
      <w:r w:rsidRPr="007748C9">
        <w:rPr>
          <w:rFonts w:ascii="Times New Roman" w:hAnsi="Times New Roman" w:cs="Times New Roman"/>
          <w:sz w:val="28"/>
          <w:szCs w:val="28"/>
        </w:rPr>
        <w:t xml:space="preserve"> процента, земельный налог –</w:t>
      </w:r>
      <w:r w:rsidR="007748C9" w:rsidRPr="007748C9">
        <w:rPr>
          <w:rFonts w:ascii="Times New Roman" w:hAnsi="Times New Roman" w:cs="Times New Roman"/>
          <w:sz w:val="28"/>
          <w:szCs w:val="28"/>
        </w:rPr>
        <w:t xml:space="preserve"> 91 637,9</w:t>
      </w:r>
      <w:r w:rsidRPr="007748C9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7748C9" w:rsidRPr="007748C9">
        <w:rPr>
          <w:rFonts w:ascii="Times New Roman" w:hAnsi="Times New Roman" w:cs="Times New Roman"/>
          <w:sz w:val="28"/>
          <w:szCs w:val="28"/>
        </w:rPr>
        <w:t>4,9</w:t>
      </w:r>
      <w:r w:rsidRPr="007748C9">
        <w:rPr>
          <w:rFonts w:ascii="Times New Roman" w:hAnsi="Times New Roman" w:cs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</w:t>
      </w:r>
      <w:r w:rsidR="007748C9" w:rsidRPr="007748C9">
        <w:rPr>
          <w:rFonts w:ascii="Times New Roman" w:hAnsi="Times New Roman" w:cs="Times New Roman"/>
          <w:sz w:val="28"/>
          <w:szCs w:val="28"/>
        </w:rPr>
        <w:t>46 151,9</w:t>
      </w:r>
      <w:r w:rsidRPr="007748C9">
        <w:rPr>
          <w:rFonts w:ascii="Times New Roman" w:hAnsi="Times New Roman" w:cs="Times New Roman"/>
          <w:sz w:val="28"/>
          <w:szCs w:val="28"/>
        </w:rPr>
        <w:t xml:space="preserve"> тыс. рублей, или 12,5 процента.</w:t>
      </w:r>
    </w:p>
    <w:p w:rsidR="005969A6" w:rsidRPr="00E52E6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C9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 за 1 квартал 201</w:t>
      </w:r>
      <w:r w:rsidR="007748C9" w:rsidRPr="007748C9">
        <w:rPr>
          <w:rFonts w:ascii="Times New Roman" w:hAnsi="Times New Roman" w:cs="Times New Roman"/>
          <w:sz w:val="28"/>
          <w:szCs w:val="28"/>
        </w:rPr>
        <w:t>5</w:t>
      </w:r>
      <w:r w:rsidRPr="007748C9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748C9" w:rsidRPr="007748C9">
        <w:rPr>
          <w:rFonts w:ascii="Times New Roman" w:hAnsi="Times New Roman" w:cs="Times New Roman"/>
          <w:sz w:val="28"/>
          <w:szCs w:val="28"/>
        </w:rPr>
        <w:t>511 908,6</w:t>
      </w:r>
      <w:r w:rsidRPr="007748C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52E67">
        <w:rPr>
          <w:rFonts w:ascii="Times New Roman" w:hAnsi="Times New Roman" w:cs="Times New Roman"/>
          <w:sz w:val="28"/>
          <w:szCs w:val="28"/>
        </w:rPr>
        <w:t xml:space="preserve">. 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образования. </w:t>
      </w:r>
    </w:p>
    <w:p w:rsidR="005969A6" w:rsidRPr="003D05EF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EF">
        <w:rPr>
          <w:rFonts w:ascii="Times New Roman" w:hAnsi="Times New Roman" w:cs="Times New Roman"/>
          <w:sz w:val="28"/>
          <w:szCs w:val="28"/>
        </w:rPr>
        <w:t>Расходы на социальную сферу, включая расходы на финансовое обеспечение муниципального задания, подведомственным учреждениям за 1 квартал 201</w:t>
      </w:r>
      <w:r w:rsidR="003D05EF" w:rsidRPr="003D05EF">
        <w:rPr>
          <w:rFonts w:ascii="Times New Roman" w:hAnsi="Times New Roman" w:cs="Times New Roman"/>
          <w:sz w:val="28"/>
          <w:szCs w:val="28"/>
        </w:rPr>
        <w:t>5</w:t>
      </w:r>
      <w:r w:rsidRPr="003D05E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D05EF" w:rsidRPr="003D05EF">
        <w:rPr>
          <w:rFonts w:ascii="Times New Roman" w:hAnsi="Times New Roman" w:cs="Times New Roman"/>
          <w:sz w:val="28"/>
          <w:szCs w:val="28"/>
        </w:rPr>
        <w:t>630</w:t>
      </w:r>
      <w:r w:rsidR="005E184F">
        <w:rPr>
          <w:rFonts w:ascii="Times New Roman" w:hAnsi="Times New Roman" w:cs="Times New Roman"/>
          <w:sz w:val="28"/>
          <w:szCs w:val="28"/>
        </w:rPr>
        <w:t xml:space="preserve"> </w:t>
      </w:r>
      <w:r w:rsidR="003D05EF" w:rsidRPr="003D05EF">
        <w:rPr>
          <w:rFonts w:ascii="Times New Roman" w:hAnsi="Times New Roman" w:cs="Times New Roman"/>
          <w:sz w:val="28"/>
          <w:szCs w:val="28"/>
        </w:rPr>
        <w:t>932,7</w:t>
      </w:r>
      <w:r w:rsidRPr="003D05E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D05EF" w:rsidRPr="003D05EF">
        <w:rPr>
          <w:rFonts w:ascii="Times New Roman" w:hAnsi="Times New Roman" w:cs="Times New Roman"/>
          <w:sz w:val="28"/>
          <w:szCs w:val="28"/>
        </w:rPr>
        <w:t>20,7</w:t>
      </w:r>
      <w:r w:rsidRPr="003D05EF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5969A6" w:rsidRPr="00AA119E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9E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а также на развитие других отраслей экономики направлено </w:t>
      </w:r>
      <w:r w:rsidR="00AA119E" w:rsidRPr="00AA119E">
        <w:rPr>
          <w:rFonts w:ascii="Times New Roman" w:hAnsi="Times New Roman" w:cs="Times New Roman"/>
          <w:sz w:val="28"/>
          <w:szCs w:val="28"/>
        </w:rPr>
        <w:t>15 969,2</w:t>
      </w:r>
      <w:r w:rsidRPr="00AA119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A119E" w:rsidRPr="00AA119E">
        <w:rPr>
          <w:rFonts w:ascii="Times New Roman" w:hAnsi="Times New Roman" w:cs="Times New Roman"/>
          <w:sz w:val="28"/>
          <w:szCs w:val="28"/>
        </w:rPr>
        <w:t>7,5</w:t>
      </w:r>
      <w:r w:rsidRPr="00AA119E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  <w:r w:rsidR="000B3ED8">
        <w:rPr>
          <w:rFonts w:ascii="Times New Roman" w:hAnsi="Times New Roman" w:cs="Times New Roman"/>
          <w:sz w:val="28"/>
          <w:szCs w:val="28"/>
        </w:rPr>
        <w:t xml:space="preserve"> </w:t>
      </w:r>
      <w:r w:rsidRPr="00AA119E">
        <w:rPr>
          <w:rFonts w:ascii="Times New Roman" w:hAnsi="Times New Roman" w:cs="Times New Roman"/>
          <w:sz w:val="28"/>
          <w:szCs w:val="28"/>
        </w:rPr>
        <w:t>На жилищно – коммунально</w:t>
      </w:r>
      <w:r w:rsidR="005E184F">
        <w:rPr>
          <w:rFonts w:ascii="Times New Roman" w:hAnsi="Times New Roman" w:cs="Times New Roman"/>
          <w:sz w:val="28"/>
          <w:szCs w:val="28"/>
        </w:rPr>
        <w:t>е</w:t>
      </w:r>
      <w:r w:rsidRPr="00AA119E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5E184F">
        <w:rPr>
          <w:rFonts w:ascii="Times New Roman" w:hAnsi="Times New Roman" w:cs="Times New Roman"/>
          <w:sz w:val="28"/>
          <w:szCs w:val="28"/>
        </w:rPr>
        <w:t>о</w:t>
      </w:r>
      <w:r w:rsidRPr="00AA119E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AA119E" w:rsidRPr="00AA119E">
        <w:rPr>
          <w:rFonts w:ascii="Times New Roman" w:hAnsi="Times New Roman" w:cs="Times New Roman"/>
          <w:sz w:val="28"/>
          <w:szCs w:val="28"/>
        </w:rPr>
        <w:t>26</w:t>
      </w:r>
      <w:r w:rsidR="005E184F">
        <w:rPr>
          <w:rFonts w:ascii="Times New Roman" w:hAnsi="Times New Roman" w:cs="Times New Roman"/>
          <w:sz w:val="28"/>
          <w:szCs w:val="28"/>
        </w:rPr>
        <w:t xml:space="preserve"> </w:t>
      </w:r>
      <w:r w:rsidR="00AA119E" w:rsidRPr="00AA119E">
        <w:rPr>
          <w:rFonts w:ascii="Times New Roman" w:hAnsi="Times New Roman" w:cs="Times New Roman"/>
          <w:sz w:val="28"/>
          <w:szCs w:val="28"/>
        </w:rPr>
        <w:t>665,2</w:t>
      </w:r>
      <w:r w:rsidRPr="00AA119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A119E" w:rsidRPr="00AA119E">
        <w:rPr>
          <w:rFonts w:ascii="Times New Roman" w:hAnsi="Times New Roman" w:cs="Times New Roman"/>
          <w:sz w:val="28"/>
          <w:szCs w:val="28"/>
        </w:rPr>
        <w:t>5,6</w:t>
      </w:r>
      <w:r w:rsidRPr="00AA119E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5969A6" w:rsidRPr="00AA119E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9E">
        <w:rPr>
          <w:rFonts w:ascii="Times New Roman" w:hAnsi="Times New Roman" w:cs="Times New Roman"/>
          <w:sz w:val="28"/>
          <w:szCs w:val="28"/>
        </w:rPr>
        <w:lastRenderedPageBreak/>
        <w:t>Низкий процент исполнения расходов по этим отраслям связан с тем, что оказание услуг и выполнение работ осуществляется по результатам размещения закупок в соответствии с Федеральным законом от 05.04.2013 №</w:t>
      </w:r>
      <w:r w:rsidR="005E184F">
        <w:rPr>
          <w:rFonts w:ascii="Times New Roman" w:hAnsi="Times New Roman" w:cs="Times New Roman"/>
          <w:sz w:val="28"/>
          <w:szCs w:val="28"/>
        </w:rPr>
        <w:t xml:space="preserve"> </w:t>
      </w:r>
      <w:r w:rsidRPr="00AA119E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муниципальных нужд» на основе конкурсов, аукционов. Поскольку проведение указанных процедур составляет от 30 до 50 дней, заключение муниципальных контрактов переходит на 2 квартал.</w:t>
      </w:r>
    </w:p>
    <w:p w:rsidR="00EC2164" w:rsidRPr="004368FE" w:rsidRDefault="00EC2164" w:rsidP="00EC2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FE">
        <w:rPr>
          <w:rFonts w:ascii="Times New Roman" w:hAnsi="Times New Roman" w:cs="Times New Roman"/>
          <w:sz w:val="28"/>
          <w:szCs w:val="28"/>
        </w:rPr>
        <w:t>На реализацию муниципальных программ в 1 квартале 2015 года направлено 692 456,1 тыс. рублей, что составляет 95,5 процента от общего объема расходов местного бюджета за 1 квартал 2015 года.</w:t>
      </w:r>
    </w:p>
    <w:p w:rsidR="005969A6" w:rsidRPr="00AA119E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9E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 по состоянию на 01.04.201</w:t>
      </w:r>
      <w:r w:rsidR="00AA119E" w:rsidRPr="00AA119E">
        <w:rPr>
          <w:rFonts w:ascii="Times New Roman" w:hAnsi="Times New Roman" w:cs="Times New Roman"/>
          <w:sz w:val="28"/>
          <w:szCs w:val="28"/>
        </w:rPr>
        <w:t>5</w:t>
      </w:r>
      <w:r w:rsidRPr="00AA119E">
        <w:rPr>
          <w:rFonts w:ascii="Times New Roman" w:hAnsi="Times New Roman" w:cs="Times New Roman"/>
          <w:sz w:val="28"/>
          <w:szCs w:val="28"/>
        </w:rPr>
        <w:t xml:space="preserve"> года отсутствует. </w:t>
      </w:r>
    </w:p>
    <w:p w:rsidR="005969A6" w:rsidRPr="005C45F8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23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</w:t>
      </w:r>
      <w:r w:rsidRPr="00843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A6" w:rsidRPr="0084351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84351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843517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843517" w:rsidRDefault="005E184F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5969A6" w:rsidRPr="0084351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69A6" w:rsidRPr="00843517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B520A0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517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  <w:t>Н.В</w:t>
      </w:r>
      <w:r>
        <w:rPr>
          <w:rFonts w:ascii="Times New Roman" w:hAnsi="Times New Roman" w:cs="Times New Roman"/>
          <w:sz w:val="28"/>
          <w:szCs w:val="28"/>
        </w:rPr>
        <w:t>. Белякова</w:t>
      </w:r>
    </w:p>
    <w:sectPr w:rsidR="00B520A0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2DCC"/>
    <w:rsid w:val="00023810"/>
    <w:rsid w:val="000334D8"/>
    <w:rsid w:val="000377A3"/>
    <w:rsid w:val="00055089"/>
    <w:rsid w:val="000618BE"/>
    <w:rsid w:val="00063719"/>
    <w:rsid w:val="000735F1"/>
    <w:rsid w:val="000821D6"/>
    <w:rsid w:val="0009197F"/>
    <w:rsid w:val="00092884"/>
    <w:rsid w:val="000B269E"/>
    <w:rsid w:val="000B3ED8"/>
    <w:rsid w:val="000C0509"/>
    <w:rsid w:val="000D043F"/>
    <w:rsid w:val="000D49ED"/>
    <w:rsid w:val="000E484C"/>
    <w:rsid w:val="000E68E8"/>
    <w:rsid w:val="000F0035"/>
    <w:rsid w:val="000F570E"/>
    <w:rsid w:val="001103E3"/>
    <w:rsid w:val="00112500"/>
    <w:rsid w:val="00114192"/>
    <w:rsid w:val="0011464F"/>
    <w:rsid w:val="0013093F"/>
    <w:rsid w:val="00136AFD"/>
    <w:rsid w:val="00153FF9"/>
    <w:rsid w:val="0016312B"/>
    <w:rsid w:val="001649A7"/>
    <w:rsid w:val="001653B0"/>
    <w:rsid w:val="001657F4"/>
    <w:rsid w:val="00165930"/>
    <w:rsid w:val="00167E78"/>
    <w:rsid w:val="00187E9D"/>
    <w:rsid w:val="0019383A"/>
    <w:rsid w:val="00195D11"/>
    <w:rsid w:val="001976D4"/>
    <w:rsid w:val="001B2CC5"/>
    <w:rsid w:val="001B3960"/>
    <w:rsid w:val="001B7847"/>
    <w:rsid w:val="001C25EB"/>
    <w:rsid w:val="001C6F2A"/>
    <w:rsid w:val="001D01D3"/>
    <w:rsid w:val="001D1E1E"/>
    <w:rsid w:val="001E6879"/>
    <w:rsid w:val="001F0C6E"/>
    <w:rsid w:val="001F2488"/>
    <w:rsid w:val="00203ADC"/>
    <w:rsid w:val="00205996"/>
    <w:rsid w:val="00206A7F"/>
    <w:rsid w:val="00211AA1"/>
    <w:rsid w:val="00223B99"/>
    <w:rsid w:val="00246CFA"/>
    <w:rsid w:val="0025152A"/>
    <w:rsid w:val="00271214"/>
    <w:rsid w:val="00276D04"/>
    <w:rsid w:val="00294FD5"/>
    <w:rsid w:val="00297C93"/>
    <w:rsid w:val="002B0843"/>
    <w:rsid w:val="002C0F7A"/>
    <w:rsid w:val="002D43B1"/>
    <w:rsid w:val="002D764A"/>
    <w:rsid w:val="002E574A"/>
    <w:rsid w:val="002F0A52"/>
    <w:rsid w:val="002F379F"/>
    <w:rsid w:val="0031241B"/>
    <w:rsid w:val="00324FD5"/>
    <w:rsid w:val="0032638E"/>
    <w:rsid w:val="003423A3"/>
    <w:rsid w:val="00363B02"/>
    <w:rsid w:val="00364733"/>
    <w:rsid w:val="00372B21"/>
    <w:rsid w:val="003766B8"/>
    <w:rsid w:val="00377CCB"/>
    <w:rsid w:val="00395BF8"/>
    <w:rsid w:val="003A149E"/>
    <w:rsid w:val="003A673C"/>
    <w:rsid w:val="003B4AC5"/>
    <w:rsid w:val="003D05EF"/>
    <w:rsid w:val="003D6670"/>
    <w:rsid w:val="003E568C"/>
    <w:rsid w:val="003F722D"/>
    <w:rsid w:val="00433B3C"/>
    <w:rsid w:val="0043601E"/>
    <w:rsid w:val="00442BF0"/>
    <w:rsid w:val="00446FA1"/>
    <w:rsid w:val="00454210"/>
    <w:rsid w:val="00454DA7"/>
    <w:rsid w:val="00457FE1"/>
    <w:rsid w:val="004607E2"/>
    <w:rsid w:val="00480DC7"/>
    <w:rsid w:val="004856F7"/>
    <w:rsid w:val="00490DCC"/>
    <w:rsid w:val="004915D7"/>
    <w:rsid w:val="00494D82"/>
    <w:rsid w:val="004A709F"/>
    <w:rsid w:val="004B2695"/>
    <w:rsid w:val="004B47E8"/>
    <w:rsid w:val="004E2804"/>
    <w:rsid w:val="00500C9F"/>
    <w:rsid w:val="00503F98"/>
    <w:rsid w:val="00530E22"/>
    <w:rsid w:val="005341CC"/>
    <w:rsid w:val="00541571"/>
    <w:rsid w:val="00546B97"/>
    <w:rsid w:val="0054774F"/>
    <w:rsid w:val="00565B65"/>
    <w:rsid w:val="005709D3"/>
    <w:rsid w:val="005775E9"/>
    <w:rsid w:val="005810A0"/>
    <w:rsid w:val="00583BD7"/>
    <w:rsid w:val="005918E2"/>
    <w:rsid w:val="005969A6"/>
    <w:rsid w:val="005A6DD5"/>
    <w:rsid w:val="005B25FB"/>
    <w:rsid w:val="005B3593"/>
    <w:rsid w:val="005B543F"/>
    <w:rsid w:val="005C1565"/>
    <w:rsid w:val="005C579C"/>
    <w:rsid w:val="005D54F1"/>
    <w:rsid w:val="005E184F"/>
    <w:rsid w:val="00603420"/>
    <w:rsid w:val="00605817"/>
    <w:rsid w:val="006102C1"/>
    <w:rsid w:val="00615CB9"/>
    <w:rsid w:val="00630C9A"/>
    <w:rsid w:val="00632E11"/>
    <w:rsid w:val="006469CD"/>
    <w:rsid w:val="00657EAC"/>
    <w:rsid w:val="00670C1C"/>
    <w:rsid w:val="00671A9E"/>
    <w:rsid w:val="006765EE"/>
    <w:rsid w:val="00677A7D"/>
    <w:rsid w:val="00684909"/>
    <w:rsid w:val="006928DA"/>
    <w:rsid w:val="00695589"/>
    <w:rsid w:val="006B00CB"/>
    <w:rsid w:val="006B528C"/>
    <w:rsid w:val="006D4909"/>
    <w:rsid w:val="006E65F5"/>
    <w:rsid w:val="00702BFB"/>
    <w:rsid w:val="007100DC"/>
    <w:rsid w:val="00723760"/>
    <w:rsid w:val="00726616"/>
    <w:rsid w:val="007340C4"/>
    <w:rsid w:val="00734134"/>
    <w:rsid w:val="00755674"/>
    <w:rsid w:val="00766812"/>
    <w:rsid w:val="007722D8"/>
    <w:rsid w:val="007748C9"/>
    <w:rsid w:val="00774A7A"/>
    <w:rsid w:val="007841E1"/>
    <w:rsid w:val="00792768"/>
    <w:rsid w:val="00795185"/>
    <w:rsid w:val="007A49E0"/>
    <w:rsid w:val="007C00B7"/>
    <w:rsid w:val="007D35AB"/>
    <w:rsid w:val="007D3B14"/>
    <w:rsid w:val="007D72A1"/>
    <w:rsid w:val="007F1C05"/>
    <w:rsid w:val="007F3FFC"/>
    <w:rsid w:val="00812C78"/>
    <w:rsid w:val="008146D3"/>
    <w:rsid w:val="00816AC6"/>
    <w:rsid w:val="008273AB"/>
    <w:rsid w:val="008309B7"/>
    <w:rsid w:val="0085250C"/>
    <w:rsid w:val="00853B7A"/>
    <w:rsid w:val="008648D4"/>
    <w:rsid w:val="008718FE"/>
    <w:rsid w:val="0087618F"/>
    <w:rsid w:val="008A15E1"/>
    <w:rsid w:val="008B0045"/>
    <w:rsid w:val="008B14D4"/>
    <w:rsid w:val="008B4E41"/>
    <w:rsid w:val="008E070B"/>
    <w:rsid w:val="008E5B8E"/>
    <w:rsid w:val="008E7876"/>
    <w:rsid w:val="008E7BE5"/>
    <w:rsid w:val="008F0D2F"/>
    <w:rsid w:val="00904116"/>
    <w:rsid w:val="00912177"/>
    <w:rsid w:val="00912FF8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92F88"/>
    <w:rsid w:val="00993337"/>
    <w:rsid w:val="0099359B"/>
    <w:rsid w:val="009A29DF"/>
    <w:rsid w:val="009B0329"/>
    <w:rsid w:val="009B59E3"/>
    <w:rsid w:val="009D6D9A"/>
    <w:rsid w:val="009E0580"/>
    <w:rsid w:val="00A032FC"/>
    <w:rsid w:val="00A04A56"/>
    <w:rsid w:val="00A17A5E"/>
    <w:rsid w:val="00A17B2B"/>
    <w:rsid w:val="00A233D0"/>
    <w:rsid w:val="00A400E2"/>
    <w:rsid w:val="00A52DBA"/>
    <w:rsid w:val="00A7726C"/>
    <w:rsid w:val="00A81E4B"/>
    <w:rsid w:val="00A868EF"/>
    <w:rsid w:val="00A93B6B"/>
    <w:rsid w:val="00A95433"/>
    <w:rsid w:val="00A95EF0"/>
    <w:rsid w:val="00AA013A"/>
    <w:rsid w:val="00AA119E"/>
    <w:rsid w:val="00AA2287"/>
    <w:rsid w:val="00AA29E6"/>
    <w:rsid w:val="00AB77A5"/>
    <w:rsid w:val="00AC4C72"/>
    <w:rsid w:val="00AC58D6"/>
    <w:rsid w:val="00AE3A12"/>
    <w:rsid w:val="00AE60EE"/>
    <w:rsid w:val="00B00445"/>
    <w:rsid w:val="00B067B4"/>
    <w:rsid w:val="00B14136"/>
    <w:rsid w:val="00B14356"/>
    <w:rsid w:val="00B164A8"/>
    <w:rsid w:val="00B22AE3"/>
    <w:rsid w:val="00B2666B"/>
    <w:rsid w:val="00B32FB1"/>
    <w:rsid w:val="00B46FCB"/>
    <w:rsid w:val="00B520A0"/>
    <w:rsid w:val="00B57330"/>
    <w:rsid w:val="00B619D0"/>
    <w:rsid w:val="00B74755"/>
    <w:rsid w:val="00B95BE3"/>
    <w:rsid w:val="00BC2760"/>
    <w:rsid w:val="00BC6AC0"/>
    <w:rsid w:val="00BD6B33"/>
    <w:rsid w:val="00BE0957"/>
    <w:rsid w:val="00C02DC8"/>
    <w:rsid w:val="00C0464E"/>
    <w:rsid w:val="00C1361A"/>
    <w:rsid w:val="00C204EB"/>
    <w:rsid w:val="00C206E6"/>
    <w:rsid w:val="00C22FC9"/>
    <w:rsid w:val="00C332F7"/>
    <w:rsid w:val="00C40AA5"/>
    <w:rsid w:val="00C46332"/>
    <w:rsid w:val="00C4769C"/>
    <w:rsid w:val="00C618BF"/>
    <w:rsid w:val="00C74177"/>
    <w:rsid w:val="00C80B87"/>
    <w:rsid w:val="00CA0885"/>
    <w:rsid w:val="00CA25BF"/>
    <w:rsid w:val="00CA392B"/>
    <w:rsid w:val="00CA3B89"/>
    <w:rsid w:val="00CC1836"/>
    <w:rsid w:val="00CD3B83"/>
    <w:rsid w:val="00CE20E6"/>
    <w:rsid w:val="00CF2DB4"/>
    <w:rsid w:val="00D02552"/>
    <w:rsid w:val="00D06BB3"/>
    <w:rsid w:val="00D16490"/>
    <w:rsid w:val="00D228D0"/>
    <w:rsid w:val="00D30FC2"/>
    <w:rsid w:val="00D34F07"/>
    <w:rsid w:val="00D43EB0"/>
    <w:rsid w:val="00D43F75"/>
    <w:rsid w:val="00D469EF"/>
    <w:rsid w:val="00D525F7"/>
    <w:rsid w:val="00D6710E"/>
    <w:rsid w:val="00D82486"/>
    <w:rsid w:val="00D846E1"/>
    <w:rsid w:val="00DB56C8"/>
    <w:rsid w:val="00DD1B71"/>
    <w:rsid w:val="00DE6213"/>
    <w:rsid w:val="00DF0939"/>
    <w:rsid w:val="00DF369B"/>
    <w:rsid w:val="00E0058E"/>
    <w:rsid w:val="00E13D54"/>
    <w:rsid w:val="00E26E11"/>
    <w:rsid w:val="00E52E67"/>
    <w:rsid w:val="00E578F1"/>
    <w:rsid w:val="00E71A98"/>
    <w:rsid w:val="00E73A46"/>
    <w:rsid w:val="00E812B3"/>
    <w:rsid w:val="00E821AB"/>
    <w:rsid w:val="00E956A5"/>
    <w:rsid w:val="00EB2B75"/>
    <w:rsid w:val="00EB38CD"/>
    <w:rsid w:val="00EB5431"/>
    <w:rsid w:val="00EC061D"/>
    <w:rsid w:val="00EC2164"/>
    <w:rsid w:val="00ED59EC"/>
    <w:rsid w:val="00EE7849"/>
    <w:rsid w:val="00EF1993"/>
    <w:rsid w:val="00F033E4"/>
    <w:rsid w:val="00F129DA"/>
    <w:rsid w:val="00F274FF"/>
    <w:rsid w:val="00F32BEE"/>
    <w:rsid w:val="00F51F0D"/>
    <w:rsid w:val="00F64033"/>
    <w:rsid w:val="00F702E1"/>
    <w:rsid w:val="00FC0923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05CC-F030-48C8-A5EE-32F86AA3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2015-04-14T14:32:00Z</cp:lastPrinted>
  <dcterms:created xsi:type="dcterms:W3CDTF">2015-06-23T09:53:00Z</dcterms:created>
  <dcterms:modified xsi:type="dcterms:W3CDTF">2015-06-23T09:53:00Z</dcterms:modified>
</cp:coreProperties>
</file>