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BB1D5C">
        <w:rPr>
          <w:i/>
        </w:rPr>
        <w:t xml:space="preserve">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lastRenderedPageBreak/>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57175B">
        <w:rPr>
          <w:color w:val="000000"/>
          <w:sz w:val="28"/>
          <w:szCs w:val="28"/>
        </w:rPr>
        <w:lastRenderedPageBreak/>
        <w:t>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w:t>
      </w:r>
      <w:r w:rsidRPr="0057175B">
        <w:rPr>
          <w:rFonts w:eastAsia="Calibri"/>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 xml:space="preserve">источником финансового обеспечения которых являются субсидии, предоставляемые из </w:t>
      </w:r>
      <w:r w:rsidRPr="001D6D6A">
        <w:rPr>
          <w:rFonts w:eastAsia="Calibri"/>
          <w:color w:val="00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lastRenderedPageBreak/>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lastRenderedPageBreak/>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361ACF"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361ACF"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361ACF"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lastRenderedPageBreak/>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w:t>
      </w:r>
      <w:r w:rsidRPr="0057175B">
        <w:rPr>
          <w:color w:val="000000"/>
          <w:sz w:val="28"/>
          <w:szCs w:val="28"/>
        </w:rPr>
        <w:lastRenderedPageBreak/>
        <w:t xml:space="preserve">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 xml:space="preserve">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w:t>
      </w:r>
      <w:r w:rsidRPr="0057175B">
        <w:rPr>
          <w:color w:val="000000"/>
          <w:sz w:val="28"/>
          <w:szCs w:val="28"/>
        </w:rPr>
        <w:lastRenderedPageBreak/>
        <w:t xml:space="preserve">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57175B">
        <w:rPr>
          <w:rFonts w:ascii="Times New Roman" w:hAnsi="Times New Roman"/>
          <w:color w:val="000000"/>
          <w:sz w:val="28"/>
          <w:szCs w:val="28"/>
        </w:rPr>
        <w:lastRenderedPageBreak/>
        <w:t>(родного,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 xml:space="preserve">О социальном </w:t>
      </w:r>
      <w:r w:rsidRPr="0057175B">
        <w:rPr>
          <w:color w:val="000000"/>
          <w:sz w:val="28"/>
          <w:szCs w:val="28"/>
        </w:rPr>
        <w:lastRenderedPageBreak/>
        <w:t>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w:t>
      </w:r>
      <w:r w:rsidRPr="0057175B">
        <w:rPr>
          <w:color w:val="000000"/>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 xml:space="preserve">Управление </w:t>
      </w:r>
      <w:r w:rsidRPr="0057175B">
        <w:rPr>
          <w:snapToGrid w:val="0"/>
          <w:color w:val="000000"/>
          <w:sz w:val="28"/>
          <w:szCs w:val="28"/>
        </w:rPr>
        <w:lastRenderedPageBreak/>
        <w:t>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w:t>
      </w:r>
      <w:r w:rsidRPr="0057175B">
        <w:rPr>
          <w:color w:val="000000"/>
          <w:sz w:val="28"/>
          <w:szCs w:val="28"/>
        </w:rPr>
        <w:lastRenderedPageBreak/>
        <w:t xml:space="preserve">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lastRenderedPageBreak/>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w:t>
      </w:r>
      <w:r w:rsidRPr="0057175B">
        <w:rPr>
          <w:rFonts w:eastAsia="Calibri"/>
          <w:color w:val="000000"/>
          <w:sz w:val="28"/>
          <w:szCs w:val="28"/>
        </w:rPr>
        <w:lastRenderedPageBreak/>
        <w:t xml:space="preserve">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lastRenderedPageBreak/>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lastRenderedPageBreak/>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A25112" w:rsidRDefault="00A2511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lastRenderedPageBreak/>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lastRenderedPageBreak/>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57175B">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9942F8">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w:t>
      </w:r>
      <w:r w:rsidRPr="0057175B">
        <w:rPr>
          <w:color w:val="000000"/>
          <w:sz w:val="28"/>
          <w:szCs w:val="28"/>
        </w:rPr>
        <w:lastRenderedPageBreak/>
        <w:t>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lastRenderedPageBreak/>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w:t>
      </w:r>
      <w:r w:rsidRPr="0057175B">
        <w:rPr>
          <w:rFonts w:ascii="Times New Roman" w:hAnsi="Times New Roman"/>
          <w:color w:val="000000"/>
          <w:sz w:val="28"/>
          <w:szCs w:val="28"/>
        </w:rPr>
        <w:lastRenderedPageBreak/>
        <w:t>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lastRenderedPageBreak/>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w:t>
      </w:r>
      <w:r w:rsidRPr="0057175B">
        <w:rPr>
          <w:color w:val="000000"/>
          <w:sz w:val="28"/>
          <w:szCs w:val="28"/>
        </w:rPr>
        <w:lastRenderedPageBreak/>
        <w:t xml:space="preserve">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lastRenderedPageBreak/>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w:t>
      </w:r>
      <w:r w:rsidRPr="0057175B">
        <w:rPr>
          <w:rFonts w:eastAsia="Calibri"/>
          <w:color w:val="000000"/>
          <w:sz w:val="28"/>
          <w:szCs w:val="28"/>
          <w:lang w:eastAsia="en-US"/>
        </w:rPr>
        <w:lastRenderedPageBreak/>
        <w:t xml:space="preserve">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lastRenderedPageBreak/>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lastRenderedPageBreak/>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9942F8" w:rsidRDefault="00C810B3"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382BD4" w:rsidRPr="009942F8" w:rsidRDefault="00382BD4"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F770EB" w:rsidRDefault="00F72BD1"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8A2CF5" w:rsidRDefault="00F72BD1"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F72BD1"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72BD1" w:rsidRPr="0057175B" w:rsidRDefault="00F72BD1"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72BD1" w:rsidRPr="0057175B" w:rsidRDefault="00F72BD1"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1E3DC2" w:rsidRDefault="00F72BD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1E3DC2" w:rsidRDefault="00F72BD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72BD1" w:rsidRPr="0057175B" w:rsidRDefault="00F72BD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72BD1" w:rsidRPr="0057175B" w:rsidRDefault="00F72BD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72BD1" w:rsidRPr="0057175B" w:rsidRDefault="00F72BD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72BD1"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06 4 00 12050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06 4 00 12090</w:t>
            </w:r>
          </w:p>
          <w:p w:rsidR="00F72BD1" w:rsidRPr="0057175B" w:rsidRDefault="00F72BD1"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3F28BB" w:rsidRDefault="00F72BD1"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F72BD1" w:rsidRPr="005A38F6" w:rsidRDefault="00F72BD1"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right="-57"/>
              <w:jc w:val="both"/>
              <w:rPr>
                <w:rFonts w:eastAsia="Calibri"/>
                <w:color w:val="000000"/>
                <w:sz w:val="28"/>
                <w:szCs w:val="28"/>
                <w:lang w:eastAsia="en-US"/>
              </w:rPr>
            </w:pPr>
            <w:r>
              <w:rPr>
                <w:rFonts w:eastAsia="Calibri"/>
                <w:sz w:val="28"/>
                <w:szCs w:val="28"/>
              </w:rPr>
              <w:t>Утратил силу</w:t>
            </w:r>
          </w:p>
        </w:tc>
      </w:tr>
      <w:tr w:rsidR="00F72BD1"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E5952">
            <w:pPr>
              <w:autoSpaceDE w:val="0"/>
              <w:autoSpaceDN w:val="0"/>
              <w:adjustRightInd w:val="0"/>
              <w:jc w:val="both"/>
              <w:rPr>
                <w:iCs/>
                <w:color w:val="000000"/>
                <w:sz w:val="28"/>
                <w:szCs w:val="28"/>
              </w:rPr>
            </w:pPr>
            <w:r>
              <w:rPr>
                <w:rFonts w:eastAsia="Calibri"/>
                <w:sz w:val="28"/>
                <w:szCs w:val="28"/>
              </w:rPr>
              <w:t>Утратил силу</w:t>
            </w:r>
          </w:p>
        </w:tc>
      </w:tr>
      <w:tr w:rsidR="00F72BD1"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F72BD1" w:rsidRDefault="00F72BD1">
            <w:r w:rsidRPr="00FE2CA8">
              <w:rPr>
                <w:rFonts w:eastAsia="Calibri"/>
                <w:sz w:val="28"/>
                <w:szCs w:val="28"/>
              </w:rPr>
              <w:t>Утратил силу</w:t>
            </w:r>
          </w:p>
        </w:tc>
      </w:tr>
      <w:tr w:rsidR="00F72BD1"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72BD1"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72BD1" w:rsidRPr="0057175B" w:rsidRDefault="00F72BD1"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rPr>
                <w:color w:val="000000"/>
                <w:sz w:val="28"/>
                <w:szCs w:val="28"/>
              </w:rPr>
            </w:pPr>
            <w:r w:rsidRPr="0057175B">
              <w:rPr>
                <w:color w:val="000000"/>
                <w:sz w:val="28"/>
                <w:szCs w:val="28"/>
              </w:rPr>
              <w:t>Подпрограмма «Доступная среда»</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F72BD1"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F72BD1" w:rsidRPr="0057175B" w:rsidRDefault="00F72BD1"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F72BD1"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F72BD1"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F72BD1" w:rsidRPr="0057175B" w:rsidRDefault="00F72BD1"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F72BD1" w:rsidRPr="0057175B" w:rsidRDefault="00F72BD1"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F72BD1" w:rsidRPr="0057175B" w:rsidRDefault="00F72BD1"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F72BD1" w:rsidRPr="0057175B" w:rsidRDefault="00F72BD1"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F72BD1" w:rsidRPr="0057175B" w:rsidRDefault="00F72BD1"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F72BD1" w:rsidRPr="0057175B" w:rsidRDefault="00F72BD1"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F72BD1"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F72BD1"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72BD1" w:rsidRPr="00D31661" w:rsidRDefault="00F72BD1"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F72BD1" w:rsidRPr="00D31661" w:rsidRDefault="00F72BD1"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F72BD1" w:rsidRPr="0057175B" w:rsidRDefault="00F72BD1"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F72BD1"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F72BD1" w:rsidRPr="0057175B" w:rsidRDefault="00F72BD1"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F72BD1" w:rsidRPr="0057175B" w:rsidRDefault="00F72BD1"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F72BD1" w:rsidRPr="0057175B" w:rsidRDefault="00F72BD1"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F72BD1"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F72BD1" w:rsidRPr="0057175B" w:rsidRDefault="00F72BD1"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F72BD1" w:rsidRPr="0057175B" w:rsidRDefault="00F72BD1"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3F28BB" w:rsidRDefault="005E0D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335A9D" w:rsidRDefault="005E0D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E0D28"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E0D28" w:rsidRPr="0057175B" w:rsidRDefault="005E0D28"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E0D28" w:rsidRPr="0057175B" w:rsidRDefault="005E0D28"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E0D28" w:rsidRPr="0057175B" w:rsidRDefault="005E0D28"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E0D28" w:rsidRPr="0057175B" w:rsidRDefault="005E0D28"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5E0D28" w:rsidRPr="00604776" w:rsidRDefault="005E0D28"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5E0D28" w:rsidRPr="00D83F6A" w:rsidRDefault="005E0D28"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E0D28" w:rsidRPr="0057175B" w:rsidTr="00C2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5E0D28" w:rsidRPr="003F28BB" w:rsidRDefault="005E0D28"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5E0D28" w:rsidRPr="005A38F6" w:rsidRDefault="005E0D28"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E0D28"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E0D28" w:rsidRPr="0057175B" w:rsidRDefault="005E0D28"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E0D28" w:rsidRPr="0057175B" w:rsidRDefault="005E0D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E0D28" w:rsidRPr="0057175B" w:rsidRDefault="005E0D28"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E0D28" w:rsidRPr="0057175B" w:rsidRDefault="005E0D28"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ED0647">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3F28BB" w:rsidRDefault="005E0D28"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A38F6" w:rsidRDefault="005E0D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3F28BB" w:rsidRDefault="005E0D28"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A38F6" w:rsidRDefault="005E0D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E0D28" w:rsidRPr="0057175B" w:rsidRDefault="005E0D28"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E0D28" w:rsidRPr="0057175B" w:rsidRDefault="005E0D28"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E0D28" w:rsidRPr="0057175B" w:rsidRDefault="005E0D28"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E0D28" w:rsidRPr="0057175B" w:rsidRDefault="005E0D28"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E0D28" w:rsidRPr="0057175B" w:rsidRDefault="005E0D28"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5E0D28"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E0D28"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E0D28"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E0D28" w:rsidRPr="0057175B" w:rsidRDefault="005E0D28"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E0D28" w:rsidRPr="0057175B" w:rsidRDefault="005E0D28"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E0D28"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E0D28"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E0D28"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E0D28"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E0D28"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E0D28"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E0D28" w:rsidRPr="0057175B" w:rsidTr="00C535B1">
        <w:trPr>
          <w:trHeight w:val="725"/>
        </w:trPr>
        <w:tc>
          <w:tcPr>
            <w:tcW w:w="1985" w:type="dxa"/>
            <w:tcBorders>
              <w:top w:val="nil"/>
              <w:left w:val="single" w:sz="4" w:space="0" w:color="auto"/>
              <w:bottom w:val="single" w:sz="4" w:space="0" w:color="auto"/>
              <w:right w:val="nil"/>
            </w:tcBorders>
            <w:shd w:val="clear" w:color="auto" w:fill="auto"/>
            <w:noWrap/>
            <w:hideMark/>
          </w:tcPr>
          <w:p w:rsidR="005E0D28" w:rsidRPr="003F28BB" w:rsidRDefault="005E0D28"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8A2CF5" w:rsidRDefault="005E0D28"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E0D28"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E0D28"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Волгодонская городская Дума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E0D28"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E0D28"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E0D28"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E0D28"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E0D28"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E0D28" w:rsidRPr="0057175B" w:rsidRDefault="005E0D28" w:rsidP="004A6119">
            <w:pPr>
              <w:ind w:left="-57" w:right="-57"/>
              <w:jc w:val="both"/>
              <w:rPr>
                <w:color w:val="000000"/>
                <w:sz w:val="28"/>
                <w:szCs w:val="28"/>
              </w:rPr>
            </w:pPr>
            <w:r w:rsidRPr="0057175B">
              <w:rPr>
                <w:color w:val="000000"/>
                <w:sz w:val="28"/>
                <w:szCs w:val="28"/>
              </w:rPr>
              <w:t>Иные непрограммные мероприятия</w:t>
            </w:r>
          </w:p>
        </w:tc>
      </w:tr>
      <w:tr w:rsidR="005E0D28"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E0D28" w:rsidRPr="0057175B" w:rsidTr="00ED0647">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5E0D28" w:rsidRPr="00884F98" w:rsidRDefault="005E0D28"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5E0D28"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E0D28"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E0D28"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E0D28" w:rsidRPr="0057175B" w:rsidRDefault="005E0D28" w:rsidP="004A6119">
            <w:pPr>
              <w:ind w:left="-57" w:right="-57"/>
              <w:jc w:val="both"/>
              <w:rPr>
                <w:color w:val="000000"/>
                <w:sz w:val="28"/>
                <w:szCs w:val="28"/>
              </w:rPr>
            </w:pPr>
            <w:r w:rsidRPr="0057175B">
              <w:rPr>
                <w:color w:val="000000"/>
                <w:sz w:val="28"/>
                <w:szCs w:val="28"/>
              </w:rPr>
              <w:t>Администрации города Волгодонска»</w:t>
            </w:r>
          </w:p>
        </w:tc>
      </w:tr>
      <w:tr w:rsidR="005E0D28"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E0D28" w:rsidRPr="0057175B" w:rsidRDefault="005E0D28" w:rsidP="00687192">
            <w:pPr>
              <w:ind w:left="-57" w:right="-57"/>
              <w:jc w:val="both"/>
              <w:rPr>
                <w:color w:val="000000"/>
                <w:sz w:val="28"/>
                <w:szCs w:val="28"/>
              </w:rPr>
            </w:pPr>
            <w:r w:rsidRPr="0057175B">
              <w:rPr>
                <w:color w:val="000000"/>
                <w:sz w:val="28"/>
                <w:szCs w:val="28"/>
              </w:rPr>
              <w:t>Администрации города Волгодонска»</w:t>
            </w:r>
          </w:p>
        </w:tc>
      </w:tr>
      <w:tr w:rsidR="005E0D28"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E0D28" w:rsidRPr="0057175B" w:rsidRDefault="005E0D28"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E0D28" w:rsidRPr="0057175B" w:rsidRDefault="005E0D28"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E0D28"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E0D28" w:rsidRPr="0057175B" w:rsidRDefault="005E0D28"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E0D28" w:rsidRPr="0057175B" w:rsidRDefault="005E0D28"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24" w:rsidRDefault="00D14324">
      <w:r>
        <w:separator/>
      </w:r>
    </w:p>
  </w:endnote>
  <w:endnote w:type="continuationSeparator" w:id="1">
    <w:p w:rsidR="00D14324" w:rsidRDefault="00D14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361ACF"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361ACF"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separate"/>
    </w:r>
    <w:r w:rsidR="009942F8">
      <w:rPr>
        <w:rStyle w:val="a7"/>
        <w:noProof/>
      </w:rPr>
      <w:t>62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24" w:rsidRDefault="00D14324">
      <w:r>
        <w:separator/>
      </w:r>
    </w:p>
  </w:footnote>
  <w:footnote w:type="continuationSeparator" w:id="1">
    <w:p w:rsidR="00D14324" w:rsidRDefault="00D14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663B2"/>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1ACF"/>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5F02"/>
    <w:rsid w:val="00826D9A"/>
    <w:rsid w:val="008308C2"/>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3CE"/>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67B3"/>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42F8"/>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324"/>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6B3"/>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1859-60EB-4A3A-9AFB-B347435A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40228</Words>
  <Characters>229302</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268993</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5</cp:revision>
  <cp:lastPrinted>2018-09-24T13:11:00Z</cp:lastPrinted>
  <dcterms:created xsi:type="dcterms:W3CDTF">2019-04-03T07:34:00Z</dcterms:created>
  <dcterms:modified xsi:type="dcterms:W3CDTF">2019-04-03T13:13:00Z</dcterms:modified>
</cp:coreProperties>
</file>